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A2111" w14:textId="78D5AB39" w:rsidR="00847C45" w:rsidRDefault="00C773B4" w:rsidP="00847C45">
      <w:pPr>
        <w:jc w:val="right"/>
      </w:pPr>
      <w:bookmarkStart w:id="0" w:name="_GoBack"/>
      <w:bookmarkEnd w:id="0"/>
      <w:r>
        <w:t>marts</w:t>
      </w:r>
      <w:r w:rsidR="00847C45">
        <w:t xml:space="preserve"> 2021</w:t>
      </w:r>
    </w:p>
    <w:p w14:paraId="3153621E" w14:textId="00BA36AD" w:rsidR="00847C45" w:rsidRDefault="00847C45" w:rsidP="00847C45">
      <w:pPr>
        <w:jc w:val="right"/>
      </w:pPr>
      <w:r>
        <w:t>/</w:t>
      </w:r>
      <w:r w:rsidR="00EF3D8E">
        <w:t>TD &amp; CBJ</w:t>
      </w:r>
    </w:p>
    <w:p w14:paraId="66E7E3AD" w14:textId="77777777" w:rsidR="00847C45" w:rsidRPr="00F32C6E" w:rsidRDefault="00847C45" w:rsidP="00847C45">
      <w:pPr>
        <w:pStyle w:val="Titel"/>
      </w:pPr>
      <w:r>
        <w:t>Oversigt over internationale, nationale og regionale forpligtelser</w:t>
      </w:r>
    </w:p>
    <w:p w14:paraId="23F0870F" w14:textId="77777777" w:rsidR="00847C45" w:rsidRDefault="00847C45" w:rsidP="00E33C99">
      <w:pPr>
        <w:pStyle w:val="Overskrift1"/>
      </w:pPr>
    </w:p>
    <w:p w14:paraId="2CA54C0A" w14:textId="05763C36" w:rsidR="00E33C99" w:rsidRDefault="00E33C99" w:rsidP="00E33C99">
      <w:pPr>
        <w:pStyle w:val="Overskrift1"/>
      </w:pPr>
      <w:r>
        <w:t>Indledning</w:t>
      </w:r>
    </w:p>
    <w:p w14:paraId="2056BDFD" w14:textId="44C7198F" w:rsidR="004F312E" w:rsidRDefault="004F312E" w:rsidP="00430DB9">
      <w:r w:rsidRPr="004F312E">
        <w:t xml:space="preserve">En succesfuld </w:t>
      </w:r>
      <w:r w:rsidR="0056620A">
        <w:t>implementering</w:t>
      </w:r>
      <w:r w:rsidRPr="004F312E">
        <w:t xml:space="preserve"> af </w:t>
      </w:r>
      <w:r w:rsidR="0045109F">
        <w:t>klimaplaner</w:t>
      </w:r>
      <w:r w:rsidRPr="004F312E">
        <w:t xml:space="preserve"> afhænger af, at der gøres god strategisk brug af de eksisterende forvaltningsstrukturer både indenfor og udenfor kommunen.</w:t>
      </w:r>
      <w:r w:rsidR="0045109F">
        <w:t xml:space="preserve"> </w:t>
      </w:r>
      <w:r w:rsidR="001802F6">
        <w:t xml:space="preserve">For at opnå mest mulig </w:t>
      </w:r>
      <w:r w:rsidR="00B85689">
        <w:t>indflydelse</w:t>
      </w:r>
      <w:r w:rsidR="001802F6">
        <w:t xml:space="preserve"> og forankring bør </w:t>
      </w:r>
      <w:r w:rsidR="001802F6" w:rsidRPr="001802F6">
        <w:t>klimaindsatsen koordinere</w:t>
      </w:r>
      <w:r w:rsidR="001802F6">
        <w:t xml:space="preserve">s </w:t>
      </w:r>
      <w:r w:rsidR="001802F6" w:rsidRPr="001802F6">
        <w:t xml:space="preserve">med </w:t>
      </w:r>
      <w:r w:rsidR="001802F6">
        <w:t>eksisterende</w:t>
      </w:r>
      <w:r w:rsidR="001802F6" w:rsidRPr="001802F6">
        <w:t xml:space="preserve"> planer, initiativer og institutioner for at finde relevante indsatser, potentielle samarbejder og bedre prioriteringer.</w:t>
      </w:r>
      <w:r w:rsidR="001802F6">
        <w:t xml:space="preserve"> </w:t>
      </w:r>
      <w:r w:rsidR="0045109F">
        <w:t xml:space="preserve">Det forudsætter, at kommunen har dannet sig et overblik over </w:t>
      </w:r>
      <w:r w:rsidR="0096790B">
        <w:t>internationale, nationale og regionale forpligtigelser</w:t>
      </w:r>
      <w:r w:rsidR="00D5182E">
        <w:t xml:space="preserve">, </w:t>
      </w:r>
      <w:r w:rsidR="0096790B">
        <w:t>rammevilkår</w:t>
      </w:r>
      <w:r w:rsidR="00D5182E">
        <w:t xml:space="preserve"> og tiltag</w:t>
      </w:r>
      <w:r w:rsidR="001802F6">
        <w:t>.</w:t>
      </w:r>
      <w:r w:rsidR="001D166B">
        <w:t xml:space="preserve"> Formålet er at</w:t>
      </w:r>
      <w:r w:rsidR="001D166B" w:rsidRPr="0058372A">
        <w:t xml:space="preserve"> fremme </w:t>
      </w:r>
      <w:r w:rsidR="007E4993">
        <w:t>synergien</w:t>
      </w:r>
      <w:r w:rsidR="001D166B" w:rsidRPr="0058372A">
        <w:t xml:space="preserve"> mellem aktiviteter på forskellige niveauer og derigennem accelerere omstillingen.</w:t>
      </w:r>
      <w:r w:rsidR="001802F6">
        <w:t xml:space="preserve"> </w:t>
      </w:r>
    </w:p>
    <w:p w14:paraId="2E488966" w14:textId="2CD91619" w:rsidR="00904F55" w:rsidRDefault="00904F55" w:rsidP="00904F55">
      <w:pPr>
        <w:pStyle w:val="Overskrift2"/>
      </w:pPr>
      <w:r>
        <w:t>Notatets formål</w:t>
      </w:r>
    </w:p>
    <w:p w14:paraId="5B439F7A" w14:textId="484AE79E" w:rsidR="0088063B" w:rsidRDefault="007A5E66" w:rsidP="00166E75">
      <w:r>
        <w:t xml:space="preserve">Nærværende notat </w:t>
      </w:r>
      <w:r w:rsidR="00A00627">
        <w:t xml:space="preserve">søger at understøtte DK2020-kommunernes </w:t>
      </w:r>
      <w:r w:rsidR="00281BAB">
        <w:t>opgave med at identificere nationale og regionale forpligtigelser,</w:t>
      </w:r>
      <w:r w:rsidR="00AA7AC2">
        <w:t xml:space="preserve"> der har direkte betydning for hhv. drivhusgasreduktion </w:t>
      </w:r>
      <w:r w:rsidR="007E4993">
        <w:t>og</w:t>
      </w:r>
      <w:r w:rsidR="00AA7AC2">
        <w:t xml:space="preserve"> klimatilpasning</w:t>
      </w:r>
      <w:r w:rsidR="00281BAB">
        <w:t>. CAP-Frameworket</w:t>
      </w:r>
      <w:r w:rsidR="00A00627">
        <w:t xml:space="preserve"> </w:t>
      </w:r>
      <w:r w:rsidR="00DD4D5F">
        <w:t xml:space="preserve">foreskriver </w:t>
      </w:r>
      <w:r w:rsidR="006A5D7C">
        <w:t>i</w:t>
      </w:r>
      <w:r w:rsidR="00DD4D5F">
        <w:t xml:space="preserve"> </w:t>
      </w:r>
      <w:r w:rsidR="0034288D">
        <w:t>a</w:t>
      </w:r>
      <w:r w:rsidR="00DD4D5F">
        <w:t>fsnit 1.2.2,</w:t>
      </w:r>
      <w:r w:rsidR="003236A5">
        <w:t xml:space="preserve"> at</w:t>
      </w:r>
      <w:r w:rsidR="00430DB9">
        <w:t xml:space="preserve"> klimaplanen skal indeholde</w:t>
      </w:r>
      <w:r w:rsidR="00166E75">
        <w:t xml:space="preserve"> en ”</w:t>
      </w:r>
      <w:r w:rsidR="00194C6B" w:rsidRPr="65F6A45A">
        <w:rPr>
          <w:i/>
          <w:iCs/>
        </w:rPr>
        <w:t>I</w:t>
      </w:r>
      <w:r w:rsidR="00430DB9" w:rsidRPr="65F6A45A">
        <w:rPr>
          <w:i/>
          <w:iCs/>
        </w:rPr>
        <w:t>dentifikation af relevante forpligtelser (statslige og ikke-statslige) og overblik over mål og tiltag, der deles med eller ejes af andre instanser eller aktører.</w:t>
      </w:r>
      <w:r w:rsidR="00166E75" w:rsidRPr="65F6A45A">
        <w:rPr>
          <w:i/>
          <w:iCs/>
        </w:rPr>
        <w:t>”</w:t>
      </w:r>
      <w:r w:rsidR="00166E75">
        <w:t xml:space="preserve"> </w:t>
      </w:r>
      <w:r w:rsidR="00D9281C">
        <w:t xml:space="preserve">Dette kan suppleres med videregående elementer om at rette henvendelse om ændring af rammevilkår eller indgå i samarbejder om udvikling af nye rammevilkår. </w:t>
      </w:r>
      <w:r w:rsidR="00AC2CAF">
        <w:t>Strukturen</w:t>
      </w:r>
      <w:r w:rsidR="0088063B">
        <w:t xml:space="preserve"> i kravet er illustreret i figuren nedenfor,</w:t>
      </w:r>
      <w:r w:rsidR="00263A93">
        <w:t xml:space="preserve"> hvor obligatoriske elementer fremgår i fuldt optrukne kasser og videregående (valgfrie) elementer i </w:t>
      </w:r>
      <w:r w:rsidR="006A5D7C">
        <w:t xml:space="preserve">stiplede kasser. </w:t>
      </w:r>
    </w:p>
    <w:p w14:paraId="149AFB59" w14:textId="77777777" w:rsidR="00263A93" w:rsidRDefault="00263A93" w:rsidP="00166E75"/>
    <w:p w14:paraId="65F49DC7" w14:textId="22A76A7B" w:rsidR="00263A93" w:rsidRDefault="00263A93" w:rsidP="00166E75">
      <w:r>
        <w:rPr>
          <w:noProof/>
          <w:lang w:eastAsia="da-DK"/>
        </w:rPr>
        <w:drawing>
          <wp:inline distT="0" distB="0" distL="0" distR="0" wp14:anchorId="1105621C" wp14:editId="29969B7B">
            <wp:extent cx="5930265" cy="1425832"/>
            <wp:effectExtent l="0" t="0" r="0"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2313" cy="1431133"/>
                    </a:xfrm>
                    <a:prstGeom prst="rect">
                      <a:avLst/>
                    </a:prstGeom>
                    <a:noFill/>
                  </pic:spPr>
                </pic:pic>
              </a:graphicData>
            </a:graphic>
          </wp:inline>
        </w:drawing>
      </w:r>
    </w:p>
    <w:p w14:paraId="324AE876" w14:textId="77777777" w:rsidR="00263A93" w:rsidRDefault="00263A93" w:rsidP="00166E75"/>
    <w:p w14:paraId="14417140" w14:textId="4402F1CE" w:rsidR="006A5D7C" w:rsidRPr="00166E75" w:rsidRDefault="00D42361" w:rsidP="00166E75">
      <w:r>
        <w:t xml:space="preserve">Arbejdet med kortlægning af forpligtelser og rammevilkår har betydning for flere af de andre CAPF-elementer. </w:t>
      </w:r>
      <w:r w:rsidR="000F1E3A">
        <w:t xml:space="preserve">Det kan have betydning for bl.a. formulering af målsætninger (1.3.), kortlægning af kommunens beføjelser (2.2.), udledningsstier for drivhusgasser (2.4.), reduktions- og tilpasningstiltag (3.1.) og identifikation af barrierer (3.2.). </w:t>
      </w:r>
      <w:r w:rsidR="000C3B75">
        <w:t>Dertil er der naturligvis en klar kobling til kortlægningen af relevant lovgivning og planer i kommunen</w:t>
      </w:r>
      <w:r w:rsidR="001771A8">
        <w:t xml:space="preserve"> (1.2.1.), der ofte også vil have ophæng i forskellige nationale regulativer. </w:t>
      </w:r>
      <w:r w:rsidR="000F1E3A">
        <w:t xml:space="preserve">Dermed kan en grundig kortlægning understøtte </w:t>
      </w:r>
      <w:r w:rsidR="000C3B75">
        <w:t xml:space="preserve">robuste leverancer på flere af de andre områder. </w:t>
      </w:r>
    </w:p>
    <w:p w14:paraId="2AE9C1A5" w14:textId="65ED361F" w:rsidR="00847C45" w:rsidRDefault="00847C45" w:rsidP="001771A8"/>
    <w:p w14:paraId="209F3959" w14:textId="77777777" w:rsidR="00FC7DAE" w:rsidRDefault="00FC7DAE" w:rsidP="001771A8"/>
    <w:p w14:paraId="052EF8EC" w14:textId="77777777" w:rsidR="00FC7DAE" w:rsidRDefault="00FC7DAE" w:rsidP="001771A8"/>
    <w:p w14:paraId="174C0660" w14:textId="77777777" w:rsidR="00FC7DAE" w:rsidRPr="001771A8" w:rsidRDefault="00FC7DAE" w:rsidP="001771A8"/>
    <w:p w14:paraId="044E3881" w14:textId="36BB1432" w:rsidR="0021216A" w:rsidRDefault="0021216A" w:rsidP="0021216A">
      <w:pPr>
        <w:pStyle w:val="Overskrift2"/>
      </w:pPr>
      <w:r>
        <w:lastRenderedPageBreak/>
        <w:t>Vejledning og værktøjer</w:t>
      </w:r>
      <w:r w:rsidR="00BF4B38">
        <w:t xml:space="preserve"> til kortlægningen </w:t>
      </w:r>
    </w:p>
    <w:p w14:paraId="65B60651" w14:textId="4AAC67BE" w:rsidR="003E1C74" w:rsidRDefault="00BF4B38" w:rsidP="0058372A">
      <w:r>
        <w:t xml:space="preserve">Formålet med oversigten </w:t>
      </w:r>
      <w:r w:rsidR="00530D17">
        <w:t>er at</w:t>
      </w:r>
      <w:r>
        <w:t xml:space="preserve"> give DK2020 kommuner et værktøj til at </w:t>
      </w:r>
      <w:r w:rsidR="00114723">
        <w:t xml:space="preserve">kunne </w:t>
      </w:r>
      <w:r>
        <w:t xml:space="preserve">identificere relevante forpligtigelser og rammevilkår indenfor </w:t>
      </w:r>
      <w:r w:rsidR="00F913CC">
        <w:t>kommunens</w:t>
      </w:r>
      <w:r>
        <w:t xml:space="preserve"> geografi. </w:t>
      </w:r>
      <w:r w:rsidR="00F15D45">
        <w:t xml:space="preserve">Der findes ikke én rigtig metode til at identificere relevante forpligtelser, men </w:t>
      </w:r>
      <w:r w:rsidR="00510967">
        <w:t>vi anbefaler at arbejde iterativt med kortlægningen i tre etaper</w:t>
      </w:r>
      <w:r w:rsidR="003E1C74">
        <w:t xml:space="preserve">. Dette er illustreret i figuren nedenfor. </w:t>
      </w:r>
    </w:p>
    <w:p w14:paraId="2F97ABB1" w14:textId="73187810" w:rsidR="007C321C" w:rsidRDefault="007C321C" w:rsidP="0058372A">
      <w:r>
        <w:rPr>
          <w:noProof/>
          <w:lang w:eastAsia="da-DK"/>
        </w:rPr>
        <w:drawing>
          <wp:inline distT="0" distB="0" distL="0" distR="0" wp14:anchorId="3D2328EB" wp14:editId="449213B8">
            <wp:extent cx="6120130" cy="1954530"/>
            <wp:effectExtent l="0" t="0" r="1270"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2">
                      <a:extLst>
                        <a:ext uri="{28A0092B-C50C-407E-A947-70E740481C1C}">
                          <a14:useLocalDpi xmlns:a14="http://schemas.microsoft.com/office/drawing/2010/main" val="0"/>
                        </a:ext>
                      </a:extLst>
                    </a:blip>
                    <a:stretch>
                      <a:fillRect/>
                    </a:stretch>
                  </pic:blipFill>
                  <pic:spPr>
                    <a:xfrm>
                      <a:off x="0" y="0"/>
                      <a:ext cx="6120130" cy="1954530"/>
                    </a:xfrm>
                    <a:prstGeom prst="rect">
                      <a:avLst/>
                    </a:prstGeom>
                  </pic:spPr>
                </pic:pic>
              </a:graphicData>
            </a:graphic>
          </wp:inline>
        </w:drawing>
      </w:r>
    </w:p>
    <w:p w14:paraId="0E8F9FB3" w14:textId="27935304" w:rsidR="003E1C74" w:rsidRPr="0058372A" w:rsidRDefault="00F03C02" w:rsidP="0058372A">
      <w:r>
        <w:t xml:space="preserve">I arbejdet med kortlægningen vil vi derudover anbefale jer at: </w:t>
      </w:r>
    </w:p>
    <w:p w14:paraId="3AE21932" w14:textId="57CCBCCA" w:rsidR="00F03C02" w:rsidRPr="00F03C02" w:rsidRDefault="00F03C02" w:rsidP="00F03C02">
      <w:pPr>
        <w:pStyle w:val="Listeafsnit"/>
        <w:numPr>
          <w:ilvl w:val="0"/>
          <w:numId w:val="11"/>
        </w:numPr>
        <w:spacing w:line="276" w:lineRule="auto"/>
      </w:pPr>
      <w:r>
        <w:t>Huske de bagvedliggende lovkomplekser.</w:t>
      </w:r>
      <w:r w:rsidRPr="65F6A45A">
        <w:rPr>
          <w:rStyle w:val="Overskrift2Tegn"/>
          <w:color w:val="auto"/>
        </w:rPr>
        <w:t xml:space="preserve"> </w:t>
      </w:r>
      <w:r>
        <w:t>Foruden klimalove og reduktionsmål er der et væld af bagvedliggende lovkomplekser, der også har stor betydning (fx planlov, varmeforsyningslov, vandforsyningslov mv.).</w:t>
      </w:r>
    </w:p>
    <w:p w14:paraId="0EED667D" w14:textId="0333377A" w:rsidR="00F03C02" w:rsidRPr="00F03C02" w:rsidRDefault="00F03C02" w:rsidP="00F03C02">
      <w:pPr>
        <w:pStyle w:val="Listeafsnit"/>
        <w:numPr>
          <w:ilvl w:val="0"/>
          <w:numId w:val="11"/>
        </w:numPr>
        <w:spacing w:line="276" w:lineRule="auto"/>
      </w:pPr>
      <w:r w:rsidRPr="00F03C02">
        <w:t>Tænk</w:t>
      </w:r>
      <w:r>
        <w:t>e</w:t>
      </w:r>
      <w:r w:rsidRPr="00F03C02">
        <w:t xml:space="preserve"> over integration mellem niveauer. Der er allerede en integration og samtænkning af de forskellige elementer nationalt og internationalt – det kan bidrage til en forsimpling</w:t>
      </w:r>
      <w:r w:rsidR="000D5D8F">
        <w:t>,</w:t>
      </w:r>
      <w:r w:rsidRPr="00F03C02">
        <w:t xml:space="preserve"> hvis man husker det (fx er 55% EU’s NDC og 70% DK’s NDC i Parisaftalen). </w:t>
      </w:r>
    </w:p>
    <w:p w14:paraId="33F3BD1D" w14:textId="522AE3ED" w:rsidR="005B6B75" w:rsidRDefault="005B6B75" w:rsidP="005B6B75">
      <w:r w:rsidRPr="0058372A">
        <w:t xml:space="preserve">C40 har </w:t>
      </w:r>
      <w:r>
        <w:t xml:space="preserve">desuden </w:t>
      </w:r>
      <w:r w:rsidRPr="0058372A">
        <w:t xml:space="preserve">udviklet en vejledning og </w:t>
      </w:r>
      <w:r>
        <w:t xml:space="preserve">et </w:t>
      </w:r>
      <w:r w:rsidRPr="0058372A">
        <w:t>værktøj for koordination og tilpasning af klimaindsatser på tværs af forskellige forvaltningsniveauer</w:t>
      </w:r>
      <w:r>
        <w:t xml:space="preserve"> kaldet </w:t>
      </w:r>
      <w:hyperlink r:id="rId13" w:history="1">
        <w:r w:rsidR="00161FA7">
          <w:rPr>
            <w:rStyle w:val="Hyperlink"/>
            <w:i/>
            <w:iCs/>
          </w:rPr>
          <w:t>Vertically</w:t>
        </w:r>
      </w:hyperlink>
      <w:r w:rsidR="00161FA7">
        <w:rPr>
          <w:rStyle w:val="Hyperlink"/>
          <w:i/>
          <w:iCs/>
        </w:rPr>
        <w:t xml:space="preserve"> Integrated Action (VIA tool)</w:t>
      </w:r>
      <w:r>
        <w:rPr>
          <w:i/>
          <w:iCs/>
        </w:rPr>
        <w:t xml:space="preserve">, </w:t>
      </w:r>
      <w:r w:rsidRPr="005B6B75">
        <w:t xml:space="preserve">som med fordel kan </w:t>
      </w:r>
      <w:r w:rsidR="008172DC">
        <w:t>besøges</w:t>
      </w:r>
      <w:r>
        <w:t xml:space="preserve">. </w:t>
      </w:r>
    </w:p>
    <w:p w14:paraId="12DB557C" w14:textId="77777777" w:rsidR="00A1343F" w:rsidRDefault="00A1343F" w:rsidP="00A1343F">
      <w:pPr>
        <w:pStyle w:val="Overskrift2"/>
      </w:pPr>
      <w:r>
        <w:t>Afgrænsning</w:t>
      </w:r>
    </w:p>
    <w:p w14:paraId="5710B93F" w14:textId="2D815691" w:rsidR="008A7446" w:rsidRDefault="00CE7750" w:rsidP="00A1343F">
      <w:r>
        <w:t>Denne o</w:t>
      </w:r>
      <w:r w:rsidR="00A1343F">
        <w:t xml:space="preserve">versigt </w:t>
      </w:r>
      <w:r w:rsidR="002B20F5">
        <w:t>fokuserer på</w:t>
      </w:r>
      <w:r w:rsidR="00A1343F">
        <w:t xml:space="preserve"> de mest omfangsrige internationale forpligtelser (så som Parisaftalen) samt EU</w:t>
      </w:r>
      <w:r w:rsidR="002B20F5">
        <w:t>-</w:t>
      </w:r>
      <w:r w:rsidR="00A1343F">
        <w:t>direktiver, som er relevante for</w:t>
      </w:r>
      <w:r w:rsidR="002B20F5">
        <w:t xml:space="preserve"> kommunernes arbejde med</w:t>
      </w:r>
      <w:r w:rsidR="00A1343F">
        <w:t xml:space="preserve"> </w:t>
      </w:r>
      <w:r w:rsidR="002B20F5">
        <w:t>drivhusgas</w:t>
      </w:r>
      <w:r w:rsidR="00A1343F">
        <w:t xml:space="preserve">reduktion og klimatilpasning. </w:t>
      </w:r>
      <w:r w:rsidR="002B20F5">
        <w:t xml:space="preserve">Oversigten er mere udtømmende på nationalt plan, men fortsat fokuseret på </w:t>
      </w:r>
      <w:r w:rsidR="00661757">
        <w:t xml:space="preserve">de centrale lovkomplekser </w:t>
      </w:r>
      <w:r w:rsidR="00E92B52">
        <w:t xml:space="preserve">med betydning for </w:t>
      </w:r>
      <w:r w:rsidR="00647642">
        <w:t>klimaområdet</w:t>
      </w:r>
      <w:r w:rsidR="00DA112B">
        <w:t xml:space="preserve">. Regionalt har </w:t>
      </w:r>
      <w:r w:rsidR="005B1180">
        <w:t xml:space="preserve">hver geografisk organisering kortlagt relevante forpligtelser og mål. </w:t>
      </w:r>
      <w:r w:rsidR="008A7446">
        <w:br w:type="page"/>
      </w:r>
    </w:p>
    <w:p w14:paraId="739E6A0D" w14:textId="1F577826" w:rsidR="002A27BF" w:rsidRDefault="001F5EA0" w:rsidP="002A27BF">
      <w:pPr>
        <w:pStyle w:val="Titel"/>
        <w:jc w:val="center"/>
        <w:rPr>
          <w:sz w:val="40"/>
          <w:szCs w:val="40"/>
        </w:rPr>
      </w:pPr>
      <w:r w:rsidRPr="002A27BF">
        <w:rPr>
          <w:sz w:val="40"/>
          <w:szCs w:val="40"/>
        </w:rPr>
        <w:lastRenderedPageBreak/>
        <w:t>Internationale, nationale og regionale</w:t>
      </w:r>
    </w:p>
    <w:p w14:paraId="09D81DA2" w14:textId="630C8D87" w:rsidR="00C83B9C" w:rsidRPr="002A27BF" w:rsidRDefault="00030958" w:rsidP="002A27BF">
      <w:pPr>
        <w:pStyle w:val="Titel"/>
        <w:jc w:val="center"/>
        <w:rPr>
          <w:sz w:val="40"/>
          <w:szCs w:val="40"/>
        </w:rPr>
      </w:pPr>
      <w:r w:rsidRPr="002A27BF">
        <w:rPr>
          <w:sz w:val="40"/>
          <w:szCs w:val="40"/>
        </w:rPr>
        <w:t>forpligtelser og rammevilkår</w:t>
      </w:r>
    </w:p>
    <w:p w14:paraId="51523B19" w14:textId="77777777" w:rsidR="009F272A" w:rsidRDefault="009F272A" w:rsidP="009F272A"/>
    <w:p w14:paraId="0514EC75" w14:textId="2AF75D76" w:rsidR="00EF3AE2" w:rsidRDefault="00EF3AE2" w:rsidP="00896E19">
      <w:pPr>
        <w:pStyle w:val="Overskrift1"/>
      </w:pPr>
      <w:r>
        <w:t xml:space="preserve">Internationale forpligtigelser </w:t>
      </w:r>
      <w:r w:rsidR="00D43C81">
        <w:t>og rammevilkår</w:t>
      </w:r>
    </w:p>
    <w:p w14:paraId="13762158" w14:textId="26237601" w:rsidR="001A4B98" w:rsidRPr="001A4B98" w:rsidRDefault="002A3A89" w:rsidP="001A4B98">
      <w:r w:rsidRPr="00520284">
        <w:rPr>
          <w:sz w:val="16"/>
          <w:szCs w:val="16"/>
        </w:rPr>
        <w:br/>
      </w:r>
      <w:r w:rsidR="00823580">
        <w:t>Kolonnen</w:t>
      </w:r>
      <w:r w:rsidR="001A4B98">
        <w:t xml:space="preserve"> ”Betydning på lokalt niveau” </w:t>
      </w:r>
      <w:r w:rsidR="00823580">
        <w:t>anvendes til at beskrive</w:t>
      </w:r>
      <w:r w:rsidR="005D45F0">
        <w:t>, hvordan den givne forpligtelse har indflydelse på lokalt niveau</w:t>
      </w:r>
      <w:r w:rsidR="00E51338">
        <w:t xml:space="preserve"> i den </w:t>
      </w:r>
      <w:r w:rsidR="00520284">
        <w:t>enkelte</w:t>
      </w:r>
      <w:r w:rsidR="00E51338">
        <w:t xml:space="preserve"> kommune</w:t>
      </w:r>
      <w:r w:rsidR="005D45F0">
        <w:t xml:space="preserve">. </w:t>
      </w:r>
    </w:p>
    <w:tbl>
      <w:tblPr>
        <w:tblStyle w:val="Tabel-Gitter"/>
        <w:tblW w:w="0" w:type="auto"/>
        <w:tblLook w:val="04A0" w:firstRow="1" w:lastRow="0" w:firstColumn="1" w:lastColumn="0" w:noHBand="0" w:noVBand="1"/>
      </w:tblPr>
      <w:tblGrid>
        <w:gridCol w:w="886"/>
        <w:gridCol w:w="2511"/>
        <w:gridCol w:w="4667"/>
        <w:gridCol w:w="1564"/>
      </w:tblGrid>
      <w:tr w:rsidR="005E52B7" w14:paraId="1E3845B4" w14:textId="77777777" w:rsidTr="65F6A45A">
        <w:tc>
          <w:tcPr>
            <w:tcW w:w="886" w:type="dxa"/>
            <w:shd w:val="clear" w:color="auto" w:fill="ACC5B5"/>
            <w:vAlign w:val="center"/>
          </w:tcPr>
          <w:p w14:paraId="5AB21E53" w14:textId="334784B3" w:rsidR="009F272A" w:rsidRPr="00FB108A" w:rsidRDefault="009F272A" w:rsidP="00734133">
            <w:pPr>
              <w:rPr>
                <w:b/>
                <w:bCs/>
                <w:color w:val="1B2956"/>
              </w:rPr>
            </w:pPr>
          </w:p>
        </w:tc>
        <w:tc>
          <w:tcPr>
            <w:tcW w:w="2511" w:type="dxa"/>
            <w:shd w:val="clear" w:color="auto" w:fill="ACC5B5"/>
            <w:vAlign w:val="center"/>
          </w:tcPr>
          <w:p w14:paraId="7E4233BC" w14:textId="3FEC1F2A" w:rsidR="009F272A" w:rsidRPr="00FB108A" w:rsidRDefault="00721555" w:rsidP="003B0325">
            <w:pPr>
              <w:jc w:val="center"/>
              <w:rPr>
                <w:b/>
                <w:bCs/>
                <w:color w:val="1B2956"/>
              </w:rPr>
            </w:pPr>
            <w:r w:rsidRPr="00FB108A">
              <w:rPr>
                <w:b/>
                <w:bCs/>
                <w:color w:val="1B2956"/>
              </w:rPr>
              <w:t>Aftale</w:t>
            </w:r>
          </w:p>
        </w:tc>
        <w:tc>
          <w:tcPr>
            <w:tcW w:w="4667" w:type="dxa"/>
            <w:shd w:val="clear" w:color="auto" w:fill="ACC5B5"/>
            <w:vAlign w:val="center"/>
          </w:tcPr>
          <w:p w14:paraId="4CC7AE7B" w14:textId="77777777" w:rsidR="009F272A" w:rsidRPr="00FB108A" w:rsidRDefault="009F272A" w:rsidP="003B0325">
            <w:pPr>
              <w:jc w:val="center"/>
              <w:rPr>
                <w:b/>
                <w:bCs/>
                <w:color w:val="1B2956"/>
              </w:rPr>
            </w:pPr>
            <w:r w:rsidRPr="00FB108A">
              <w:rPr>
                <w:b/>
                <w:bCs/>
                <w:color w:val="1B2956"/>
              </w:rPr>
              <w:t>Forpligtelser og mål</w:t>
            </w:r>
          </w:p>
        </w:tc>
        <w:tc>
          <w:tcPr>
            <w:tcW w:w="1564" w:type="dxa"/>
            <w:shd w:val="clear" w:color="auto" w:fill="ACC5B5"/>
            <w:vAlign w:val="center"/>
          </w:tcPr>
          <w:p w14:paraId="237D6FD7" w14:textId="77777777" w:rsidR="009F272A" w:rsidRPr="00FB108A" w:rsidRDefault="009F272A" w:rsidP="003B0325">
            <w:pPr>
              <w:jc w:val="center"/>
              <w:rPr>
                <w:b/>
                <w:bCs/>
                <w:color w:val="1B2956"/>
              </w:rPr>
            </w:pPr>
            <w:r w:rsidRPr="00FB108A">
              <w:rPr>
                <w:b/>
                <w:bCs/>
                <w:color w:val="1B2956"/>
              </w:rPr>
              <w:t>Betydning på lokalt niveau</w:t>
            </w:r>
          </w:p>
        </w:tc>
      </w:tr>
      <w:tr w:rsidR="006948A1" w14:paraId="74AFDEF5" w14:textId="77777777" w:rsidTr="65F6A45A">
        <w:tc>
          <w:tcPr>
            <w:tcW w:w="886" w:type="dxa"/>
            <w:vMerge w:val="restart"/>
            <w:shd w:val="clear" w:color="auto" w:fill="ACC5B5"/>
            <w:vAlign w:val="center"/>
          </w:tcPr>
          <w:p w14:paraId="4E921C1D" w14:textId="6D5FA703" w:rsidR="006948A1" w:rsidRPr="00FB108A" w:rsidRDefault="006948A1" w:rsidP="003B0325">
            <w:pPr>
              <w:jc w:val="center"/>
              <w:rPr>
                <w:b/>
                <w:bCs/>
                <w:color w:val="1B2956"/>
              </w:rPr>
            </w:pPr>
            <w:r w:rsidRPr="00FB108A">
              <w:rPr>
                <w:b/>
                <w:bCs/>
                <w:color w:val="1B2956"/>
              </w:rPr>
              <w:t>FN</w:t>
            </w:r>
          </w:p>
        </w:tc>
        <w:tc>
          <w:tcPr>
            <w:tcW w:w="2511" w:type="dxa"/>
          </w:tcPr>
          <w:p w14:paraId="564D5CA6" w14:textId="0A641D5F" w:rsidR="006948A1" w:rsidRDefault="00653C67" w:rsidP="003B0325">
            <w:hyperlink r:id="rId14" w:history="1">
              <w:r w:rsidR="006948A1" w:rsidRPr="00C94F46">
                <w:rPr>
                  <w:rStyle w:val="Hyperlink"/>
                </w:rPr>
                <w:t>UNFCCC</w:t>
              </w:r>
            </w:hyperlink>
            <w:r w:rsidR="006948A1">
              <w:t xml:space="preserve"> (1992)</w:t>
            </w:r>
          </w:p>
        </w:tc>
        <w:tc>
          <w:tcPr>
            <w:tcW w:w="4667" w:type="dxa"/>
          </w:tcPr>
          <w:p w14:paraId="70E83D85" w14:textId="45D721FC" w:rsidR="006948A1" w:rsidRDefault="006948A1" w:rsidP="003B0325">
            <w:r w:rsidRPr="00680FF6">
              <w:rPr>
                <w:lang w:val="en-US"/>
              </w:rPr>
              <w:t xml:space="preserve">United Nations Framework Convention on Climate Change. </w:t>
            </w:r>
            <w:r w:rsidRPr="00680FF6">
              <w:t xml:space="preserve">FN’s klimakonvention. Vedtaget i Rio i 1992. En rammeaftale om at bekæmpe farlig menneskelig indblanding i klimasystemet. </w:t>
            </w:r>
          </w:p>
        </w:tc>
        <w:tc>
          <w:tcPr>
            <w:tcW w:w="1564" w:type="dxa"/>
          </w:tcPr>
          <w:p w14:paraId="188D02C4" w14:textId="77777777" w:rsidR="006948A1" w:rsidRDefault="006948A1" w:rsidP="003B0325"/>
        </w:tc>
      </w:tr>
      <w:tr w:rsidR="006948A1" w14:paraId="619C250E" w14:textId="77777777" w:rsidTr="65F6A45A">
        <w:tc>
          <w:tcPr>
            <w:tcW w:w="886" w:type="dxa"/>
            <w:vMerge/>
            <w:vAlign w:val="center"/>
          </w:tcPr>
          <w:p w14:paraId="6FD6BF83" w14:textId="1F0DD3C7" w:rsidR="006948A1" w:rsidRPr="00FB108A" w:rsidRDefault="006948A1" w:rsidP="005179F1">
            <w:pPr>
              <w:jc w:val="center"/>
              <w:rPr>
                <w:b/>
                <w:bCs/>
                <w:color w:val="1B2956"/>
              </w:rPr>
            </w:pPr>
          </w:p>
        </w:tc>
        <w:tc>
          <w:tcPr>
            <w:tcW w:w="2511" w:type="dxa"/>
          </w:tcPr>
          <w:p w14:paraId="1C7DFC7A" w14:textId="796B9A8B" w:rsidR="006948A1" w:rsidRDefault="00653C67" w:rsidP="005179F1">
            <w:hyperlink r:id="rId15" w:history="1">
              <w:r w:rsidR="006948A1" w:rsidRPr="00A94A95">
                <w:rPr>
                  <w:rStyle w:val="Hyperlink"/>
                </w:rPr>
                <w:t>Parisaftalen</w:t>
              </w:r>
            </w:hyperlink>
            <w:r w:rsidR="006948A1">
              <w:t xml:space="preserve"> (2015)</w:t>
            </w:r>
          </w:p>
        </w:tc>
        <w:tc>
          <w:tcPr>
            <w:tcW w:w="4667" w:type="dxa"/>
          </w:tcPr>
          <w:p w14:paraId="284B9FC6" w14:textId="3014B6D1" w:rsidR="006948A1" w:rsidRDefault="006948A1" w:rsidP="005179F1">
            <w:r w:rsidRPr="00514C2B">
              <w:t>Fastlægger et klart mål om at begrænse den globale opvarmning til godt under to grader, og stræbe mod 1,5 grader.</w:t>
            </w:r>
          </w:p>
        </w:tc>
        <w:tc>
          <w:tcPr>
            <w:tcW w:w="1564" w:type="dxa"/>
          </w:tcPr>
          <w:p w14:paraId="783D4565" w14:textId="77777777" w:rsidR="006948A1" w:rsidRDefault="006948A1" w:rsidP="005179F1"/>
        </w:tc>
      </w:tr>
      <w:tr w:rsidR="006948A1" w14:paraId="634343E7" w14:textId="77777777" w:rsidTr="65F6A45A">
        <w:tc>
          <w:tcPr>
            <w:tcW w:w="886" w:type="dxa"/>
            <w:vMerge/>
            <w:vAlign w:val="center"/>
          </w:tcPr>
          <w:p w14:paraId="3E46838C" w14:textId="77777777" w:rsidR="006948A1" w:rsidRPr="00FB108A" w:rsidRDefault="006948A1" w:rsidP="005179F1">
            <w:pPr>
              <w:jc w:val="center"/>
              <w:rPr>
                <w:b/>
                <w:bCs/>
                <w:color w:val="1B2956"/>
              </w:rPr>
            </w:pPr>
          </w:p>
        </w:tc>
        <w:tc>
          <w:tcPr>
            <w:tcW w:w="2511" w:type="dxa"/>
          </w:tcPr>
          <w:p w14:paraId="32315632" w14:textId="443E42DE" w:rsidR="006948A1" w:rsidRDefault="00653C67" w:rsidP="005179F1">
            <w:hyperlink r:id="rId16" w:history="1">
              <w:r w:rsidR="006948A1" w:rsidRPr="008B7BEE">
                <w:rPr>
                  <w:rStyle w:val="Hyperlink"/>
                </w:rPr>
                <w:t>Verdensmålene</w:t>
              </w:r>
            </w:hyperlink>
            <w:r w:rsidR="006948A1">
              <w:t xml:space="preserve"> (2015)</w:t>
            </w:r>
          </w:p>
        </w:tc>
        <w:tc>
          <w:tcPr>
            <w:tcW w:w="4667" w:type="dxa"/>
          </w:tcPr>
          <w:p w14:paraId="29C488D1" w14:textId="49B4A77C" w:rsidR="006948A1" w:rsidRDefault="006948A1" w:rsidP="005179F1">
            <w:r>
              <w:t>Sikre indfrielsen af de 17 mål for bæredygtig udvikling frem mod 2030</w:t>
            </w:r>
            <w:r w:rsidR="00955A3B">
              <w:t xml:space="preserve">. </w:t>
            </w:r>
          </w:p>
        </w:tc>
        <w:tc>
          <w:tcPr>
            <w:tcW w:w="1564" w:type="dxa"/>
          </w:tcPr>
          <w:p w14:paraId="73C18CCB" w14:textId="2F071F00" w:rsidR="006948A1" w:rsidRDefault="006948A1" w:rsidP="005179F1"/>
        </w:tc>
      </w:tr>
      <w:tr w:rsidR="006948A1" w14:paraId="3B37179B" w14:textId="77777777" w:rsidTr="65F6A45A">
        <w:tc>
          <w:tcPr>
            <w:tcW w:w="886" w:type="dxa"/>
            <w:vMerge/>
            <w:vAlign w:val="center"/>
          </w:tcPr>
          <w:p w14:paraId="36A50038" w14:textId="77777777" w:rsidR="006948A1" w:rsidRPr="00FB108A" w:rsidRDefault="006948A1" w:rsidP="005179F1">
            <w:pPr>
              <w:jc w:val="center"/>
              <w:rPr>
                <w:b/>
                <w:bCs/>
                <w:color w:val="1B2956"/>
              </w:rPr>
            </w:pPr>
          </w:p>
        </w:tc>
        <w:tc>
          <w:tcPr>
            <w:tcW w:w="2511" w:type="dxa"/>
          </w:tcPr>
          <w:p w14:paraId="73063749" w14:textId="2501DB94" w:rsidR="006948A1" w:rsidRDefault="00653C67" w:rsidP="005179F1">
            <w:hyperlink r:id="rId17" w:history="1">
              <w:r w:rsidR="006948A1" w:rsidRPr="00735EEF">
                <w:rPr>
                  <w:rStyle w:val="Hyperlink"/>
                </w:rPr>
                <w:t>Kigaliændringen under Montreal Protokollen</w:t>
              </w:r>
            </w:hyperlink>
            <w:r w:rsidR="006948A1">
              <w:t xml:space="preserve"> (2016)</w:t>
            </w:r>
          </w:p>
        </w:tc>
        <w:tc>
          <w:tcPr>
            <w:tcW w:w="4667" w:type="dxa"/>
          </w:tcPr>
          <w:p w14:paraId="5083EEA5" w14:textId="1FFD046C" w:rsidR="006948A1" w:rsidRDefault="006948A1" w:rsidP="005179F1">
            <w:r w:rsidRPr="00056EDE">
              <w:t>Kigaliændringen tilskynder til en gradvis reduktion af HFC’er</w:t>
            </w:r>
            <w:r>
              <w:t>, altså regulering af</w:t>
            </w:r>
            <w:r w:rsidRPr="00360C4D">
              <w:t xml:space="preserve"> gasser i kølesystemer</w:t>
            </w:r>
            <w:r>
              <w:t xml:space="preserve">. Landende har forpligtet sig på at reducere med mindst 80% frem mod 2030. </w:t>
            </w:r>
          </w:p>
        </w:tc>
        <w:tc>
          <w:tcPr>
            <w:tcW w:w="1564" w:type="dxa"/>
          </w:tcPr>
          <w:p w14:paraId="706704FB" w14:textId="77777777" w:rsidR="006948A1" w:rsidRDefault="006948A1" w:rsidP="005179F1"/>
        </w:tc>
      </w:tr>
      <w:tr w:rsidR="00A93AFF" w14:paraId="4C7D477F" w14:textId="77777777" w:rsidTr="65F6A45A">
        <w:tc>
          <w:tcPr>
            <w:tcW w:w="886" w:type="dxa"/>
            <w:vMerge w:val="restart"/>
            <w:shd w:val="clear" w:color="auto" w:fill="ACC5B5"/>
            <w:vAlign w:val="center"/>
          </w:tcPr>
          <w:p w14:paraId="1EFC303C" w14:textId="0DA82FDA" w:rsidR="00A93AFF" w:rsidRPr="00FB108A" w:rsidRDefault="00A93AFF" w:rsidP="005179F1">
            <w:pPr>
              <w:jc w:val="center"/>
              <w:rPr>
                <w:b/>
                <w:bCs/>
                <w:color w:val="1B2956"/>
              </w:rPr>
            </w:pPr>
            <w:r w:rsidRPr="00FB108A">
              <w:rPr>
                <w:b/>
                <w:bCs/>
                <w:color w:val="1B2956"/>
              </w:rPr>
              <w:t>EU</w:t>
            </w:r>
          </w:p>
        </w:tc>
        <w:tc>
          <w:tcPr>
            <w:tcW w:w="2511" w:type="dxa"/>
          </w:tcPr>
          <w:p w14:paraId="4BD31D60" w14:textId="03AA13F7" w:rsidR="00A93AFF" w:rsidRDefault="00653C67" w:rsidP="005179F1">
            <w:hyperlink r:id="rId18" w:history="1">
              <w:r w:rsidR="00A93AFF" w:rsidRPr="002D69DB">
                <w:rPr>
                  <w:rStyle w:val="Hyperlink"/>
                </w:rPr>
                <w:t>Habitatdirektivet</w:t>
              </w:r>
            </w:hyperlink>
            <w:r w:rsidR="00A93AFF">
              <w:t xml:space="preserve"> (1992)</w:t>
            </w:r>
          </w:p>
        </w:tc>
        <w:tc>
          <w:tcPr>
            <w:tcW w:w="4667" w:type="dxa"/>
          </w:tcPr>
          <w:p w14:paraId="7D1AD2D3" w14:textId="28B99DD0" w:rsidR="00A93AFF" w:rsidRDefault="00A93AFF" w:rsidP="005179F1">
            <w:r>
              <w:t>F</w:t>
            </w:r>
            <w:r w:rsidRPr="00A93AFF">
              <w:t>orpligter EU's medlemslande til at bevare udvalgte naturtyper og arter</w:t>
            </w:r>
            <w:r>
              <w:t xml:space="preserve">, </w:t>
            </w:r>
            <w:r w:rsidRPr="00A93AFF">
              <w:t>der er karakteristiske, sjældne eller truede i EU.</w:t>
            </w:r>
          </w:p>
        </w:tc>
        <w:tc>
          <w:tcPr>
            <w:tcW w:w="1564" w:type="dxa"/>
          </w:tcPr>
          <w:p w14:paraId="0916D886" w14:textId="77777777" w:rsidR="00A93AFF" w:rsidRPr="0F6DCD9E" w:rsidRDefault="00A93AFF" w:rsidP="005179F1">
            <w:pPr>
              <w:rPr>
                <w:rFonts w:eastAsia="Calibri"/>
              </w:rPr>
            </w:pPr>
          </w:p>
        </w:tc>
      </w:tr>
      <w:tr w:rsidR="00A93AFF" w14:paraId="26FEBDAF" w14:textId="77777777" w:rsidTr="65F6A45A">
        <w:tc>
          <w:tcPr>
            <w:tcW w:w="886" w:type="dxa"/>
            <w:vMerge/>
            <w:vAlign w:val="center"/>
          </w:tcPr>
          <w:p w14:paraId="4300956E" w14:textId="2641ABAF" w:rsidR="00A93AFF" w:rsidRPr="00FB108A" w:rsidRDefault="00A93AFF" w:rsidP="005179F1">
            <w:pPr>
              <w:jc w:val="center"/>
              <w:rPr>
                <w:b/>
                <w:bCs/>
                <w:color w:val="1B2956"/>
              </w:rPr>
            </w:pPr>
          </w:p>
        </w:tc>
        <w:tc>
          <w:tcPr>
            <w:tcW w:w="2511" w:type="dxa"/>
          </w:tcPr>
          <w:p w14:paraId="08716DF6" w14:textId="2E20FC59" w:rsidR="00A93AFF" w:rsidRDefault="00653C67" w:rsidP="005179F1">
            <w:hyperlink r:id="rId19" w:history="1">
              <w:r w:rsidR="00A93AFF" w:rsidRPr="005D1FDE">
                <w:rPr>
                  <w:rStyle w:val="Hyperlink"/>
                </w:rPr>
                <w:t>Vandrammedirektivet</w:t>
              </w:r>
            </w:hyperlink>
            <w:r w:rsidR="00A93AFF">
              <w:t xml:space="preserve"> (2000)</w:t>
            </w:r>
          </w:p>
        </w:tc>
        <w:tc>
          <w:tcPr>
            <w:tcW w:w="4667" w:type="dxa"/>
          </w:tcPr>
          <w:p w14:paraId="02943769" w14:textId="427DAD43" w:rsidR="00A93AFF" w:rsidRPr="0F6DCD9E" w:rsidRDefault="00A93AFF" w:rsidP="005179F1">
            <w:pPr>
              <w:rPr>
                <w:rFonts w:eastAsia="Calibri"/>
              </w:rPr>
            </w:pPr>
            <w:r>
              <w:t>At sikre et vandmiljø i god økologisk tilstand senest i 2027.</w:t>
            </w:r>
          </w:p>
        </w:tc>
        <w:tc>
          <w:tcPr>
            <w:tcW w:w="1564" w:type="dxa"/>
          </w:tcPr>
          <w:p w14:paraId="0B1E5DBC" w14:textId="77777777" w:rsidR="00A93AFF" w:rsidRPr="0F6DCD9E" w:rsidRDefault="00A93AFF" w:rsidP="005179F1">
            <w:pPr>
              <w:rPr>
                <w:rFonts w:eastAsia="Calibri"/>
              </w:rPr>
            </w:pPr>
          </w:p>
        </w:tc>
      </w:tr>
      <w:tr w:rsidR="00A93AFF" w14:paraId="7721C93C" w14:textId="77777777" w:rsidTr="65F6A45A">
        <w:tc>
          <w:tcPr>
            <w:tcW w:w="886" w:type="dxa"/>
            <w:vMerge/>
            <w:vAlign w:val="center"/>
          </w:tcPr>
          <w:p w14:paraId="745269C4" w14:textId="183155EE" w:rsidR="00A93AFF" w:rsidRPr="00FB108A" w:rsidRDefault="00A93AFF" w:rsidP="005179F1">
            <w:pPr>
              <w:jc w:val="center"/>
              <w:rPr>
                <w:b/>
                <w:bCs/>
                <w:color w:val="1B2956"/>
              </w:rPr>
            </w:pPr>
          </w:p>
        </w:tc>
        <w:tc>
          <w:tcPr>
            <w:tcW w:w="2511" w:type="dxa"/>
          </w:tcPr>
          <w:p w14:paraId="0CD38B5B" w14:textId="77777777" w:rsidR="00A93AFF" w:rsidRDefault="00653C67" w:rsidP="005179F1">
            <w:pPr>
              <w:rPr>
                <w:rFonts w:eastAsia="Calibri"/>
              </w:rPr>
            </w:pPr>
            <w:hyperlink r:id="rId20" w:history="1">
              <w:r w:rsidR="00A93AFF" w:rsidRPr="005E52B7">
                <w:rPr>
                  <w:rStyle w:val="Hyperlink"/>
                  <w:rFonts w:eastAsia="Calibri"/>
                </w:rPr>
                <w:t>Oversvømmelsesdirektivet</w:t>
              </w:r>
            </w:hyperlink>
            <w:r w:rsidR="00A93AFF" w:rsidRPr="0F6DCD9E">
              <w:rPr>
                <w:rFonts w:eastAsia="Calibri"/>
              </w:rPr>
              <w:t xml:space="preserve"> (2007)</w:t>
            </w:r>
          </w:p>
          <w:p w14:paraId="18B071D3" w14:textId="77777777" w:rsidR="00A93AFF" w:rsidRDefault="00A93AFF" w:rsidP="005179F1"/>
        </w:tc>
        <w:tc>
          <w:tcPr>
            <w:tcW w:w="4667" w:type="dxa"/>
          </w:tcPr>
          <w:p w14:paraId="440B7B9A" w14:textId="20DC27D2" w:rsidR="00A93AFF" w:rsidRPr="00E51338" w:rsidRDefault="00A93AFF" w:rsidP="005179F1">
            <w:pPr>
              <w:rPr>
                <w:rFonts w:eastAsia="Calibri"/>
              </w:rPr>
            </w:pPr>
            <w:r w:rsidRPr="0F6DCD9E">
              <w:rPr>
                <w:rFonts w:eastAsia="Calibri"/>
              </w:rPr>
              <w:t xml:space="preserve">Direktivet har til formål at mindske de negative konsekvenser af oversvømmelser i EU. Udpegede områder skal fastlægge retningslinjer for vurdering og styring af oversvømmelsesrisikoen. Den danske udmøntning kaldes </w:t>
            </w:r>
            <w:hyperlink r:id="rId21" w:history="1">
              <w:hyperlink r:id="rId22" w:history="1">
                <w:r w:rsidRPr="0F6DCD9E">
                  <w:rPr>
                    <w:rFonts w:eastAsia="Calibri"/>
                  </w:rPr>
                  <w:t>oversvømmelsesloven</w:t>
                </w:r>
              </w:hyperlink>
            </w:hyperlink>
            <w:r w:rsidRPr="0F6DCD9E">
              <w:rPr>
                <w:rFonts w:eastAsia="Calibri"/>
              </w:rPr>
              <w:t>.</w:t>
            </w:r>
            <w:r w:rsidR="00E51338">
              <w:rPr>
                <w:rFonts w:eastAsia="Calibri"/>
              </w:rPr>
              <w:t xml:space="preserve"> </w:t>
            </w:r>
            <w:r w:rsidR="007B35CB">
              <w:rPr>
                <w:rFonts w:eastAsia="Calibri"/>
              </w:rPr>
              <w:t>Forpligtelsen er r</w:t>
            </w:r>
            <w:r w:rsidR="00E51338" w:rsidRPr="0F6DCD9E">
              <w:rPr>
                <w:rFonts w:eastAsia="Calibri"/>
              </w:rPr>
              <w:t>elevant for de 27 kommuner i de 14 udpegede risikoområder.</w:t>
            </w:r>
          </w:p>
        </w:tc>
        <w:tc>
          <w:tcPr>
            <w:tcW w:w="1564" w:type="dxa"/>
          </w:tcPr>
          <w:p w14:paraId="07919585" w14:textId="77777777" w:rsidR="00A93AFF" w:rsidRDefault="00A93AFF" w:rsidP="00BD084F"/>
        </w:tc>
      </w:tr>
      <w:tr w:rsidR="00A93AFF" w14:paraId="03339C11" w14:textId="77777777" w:rsidTr="65F6A45A">
        <w:tc>
          <w:tcPr>
            <w:tcW w:w="886" w:type="dxa"/>
            <w:vMerge/>
            <w:vAlign w:val="center"/>
          </w:tcPr>
          <w:p w14:paraId="12E5031F" w14:textId="77777777" w:rsidR="00A93AFF" w:rsidRPr="00FB108A" w:rsidRDefault="00A93AFF" w:rsidP="005179F1">
            <w:pPr>
              <w:jc w:val="center"/>
              <w:rPr>
                <w:b/>
                <w:bCs/>
                <w:color w:val="1B2956"/>
              </w:rPr>
            </w:pPr>
          </w:p>
        </w:tc>
        <w:tc>
          <w:tcPr>
            <w:tcW w:w="2511" w:type="dxa"/>
          </w:tcPr>
          <w:p w14:paraId="5910A7D4" w14:textId="77777777" w:rsidR="00A93AFF" w:rsidRPr="00E913B0" w:rsidRDefault="00653C67" w:rsidP="005179F1">
            <w:hyperlink r:id="rId23" w:history="1">
              <w:r w:rsidR="00A93AFF" w:rsidRPr="000602AA">
                <w:rPr>
                  <w:rStyle w:val="Hyperlink"/>
                </w:rPr>
                <w:t>EU’s lovgivning om håndtering af affald</w:t>
              </w:r>
            </w:hyperlink>
            <w:r w:rsidR="00A93AFF">
              <w:t xml:space="preserve"> (2008)</w:t>
            </w:r>
          </w:p>
          <w:p w14:paraId="76B57F2B" w14:textId="77777777" w:rsidR="00A93AFF" w:rsidRDefault="00A93AFF" w:rsidP="005179F1"/>
        </w:tc>
        <w:tc>
          <w:tcPr>
            <w:tcW w:w="4667" w:type="dxa"/>
          </w:tcPr>
          <w:p w14:paraId="2BDC9CB1" w14:textId="6F034EB9" w:rsidR="00A93AFF" w:rsidRPr="0F6DCD9E" w:rsidRDefault="00A93AFF" w:rsidP="005179F1">
            <w:pPr>
              <w:rPr>
                <w:rFonts w:eastAsia="Calibri"/>
              </w:rPr>
            </w:pPr>
            <w:r>
              <w:t>F</w:t>
            </w:r>
            <w:r w:rsidRPr="00E72411">
              <w:t xml:space="preserve">astsætter </w:t>
            </w:r>
            <w:r>
              <w:t xml:space="preserve">bla. </w:t>
            </w:r>
            <w:r w:rsidRPr="00E72411">
              <w:t>mål for genanvendelse af kommunalt affald: senest i 2025 skal mindst 55 % af kommunalt affald genanvendes. Dette mål stiger til 60 % senest i 2030 og 65 % senest i 2035.</w:t>
            </w:r>
          </w:p>
        </w:tc>
        <w:tc>
          <w:tcPr>
            <w:tcW w:w="1564" w:type="dxa"/>
          </w:tcPr>
          <w:p w14:paraId="497406BF" w14:textId="77777777" w:rsidR="00A93AFF" w:rsidRPr="0F6DCD9E" w:rsidRDefault="00A93AFF" w:rsidP="005179F1">
            <w:pPr>
              <w:rPr>
                <w:rFonts w:eastAsia="Calibri"/>
              </w:rPr>
            </w:pPr>
          </w:p>
        </w:tc>
      </w:tr>
      <w:tr w:rsidR="00A93AFF" w14:paraId="42E13791" w14:textId="77777777" w:rsidTr="65F6A45A">
        <w:tc>
          <w:tcPr>
            <w:tcW w:w="886" w:type="dxa"/>
            <w:vMerge/>
            <w:vAlign w:val="center"/>
          </w:tcPr>
          <w:p w14:paraId="777F3539" w14:textId="77777777" w:rsidR="00A93AFF" w:rsidRPr="00FB108A" w:rsidRDefault="00A93AFF" w:rsidP="005179F1">
            <w:pPr>
              <w:jc w:val="center"/>
              <w:rPr>
                <w:b/>
                <w:bCs/>
                <w:color w:val="1B2956"/>
              </w:rPr>
            </w:pPr>
          </w:p>
        </w:tc>
        <w:tc>
          <w:tcPr>
            <w:tcW w:w="2511" w:type="dxa"/>
          </w:tcPr>
          <w:p w14:paraId="6629B9A0" w14:textId="15A65D82" w:rsidR="00A93AFF" w:rsidRDefault="00653C67" w:rsidP="005179F1">
            <w:hyperlink r:id="rId24" w:history="1">
              <w:r w:rsidR="00A93AFF" w:rsidRPr="00302E0B">
                <w:rPr>
                  <w:rStyle w:val="Hyperlink"/>
                </w:rPr>
                <w:t>IE-direktivet</w:t>
              </w:r>
            </w:hyperlink>
            <w:r w:rsidR="00A93AFF">
              <w:t xml:space="preserve"> (2010)</w:t>
            </w:r>
          </w:p>
        </w:tc>
        <w:tc>
          <w:tcPr>
            <w:tcW w:w="4667" w:type="dxa"/>
          </w:tcPr>
          <w:p w14:paraId="69C31AF2" w14:textId="182ED5B7" w:rsidR="00A93AFF" w:rsidRDefault="00A93AFF" w:rsidP="005179F1">
            <w:r>
              <w:t xml:space="preserve">Fastsætter at </w:t>
            </w:r>
            <w:r w:rsidRPr="0038507D">
              <w:t xml:space="preserve">virksomheder, der fremstiller, frigiver eller bruger visse relevante farlige stoffer, </w:t>
            </w:r>
            <w:r>
              <w:t xml:space="preserve">skal </w:t>
            </w:r>
            <w:r w:rsidRPr="0038507D">
              <w:t>gennemføre en basistilstandsrapport enten i forbindelse med opstart af en ny virksomhed, eller ved revurdering af en eksisterende miljøgodkendelse.</w:t>
            </w:r>
          </w:p>
        </w:tc>
        <w:tc>
          <w:tcPr>
            <w:tcW w:w="1564" w:type="dxa"/>
          </w:tcPr>
          <w:p w14:paraId="7CED9E5C" w14:textId="77777777" w:rsidR="00A93AFF" w:rsidRPr="0F6DCD9E" w:rsidRDefault="00A93AFF" w:rsidP="005179F1">
            <w:pPr>
              <w:rPr>
                <w:rFonts w:eastAsia="Calibri"/>
              </w:rPr>
            </w:pPr>
          </w:p>
        </w:tc>
      </w:tr>
      <w:tr w:rsidR="0044020C" w14:paraId="5A11C350" w14:textId="77777777" w:rsidTr="65F6A45A">
        <w:tc>
          <w:tcPr>
            <w:tcW w:w="886" w:type="dxa"/>
            <w:vMerge/>
            <w:vAlign w:val="center"/>
          </w:tcPr>
          <w:p w14:paraId="181B7C3C" w14:textId="77777777" w:rsidR="0044020C" w:rsidRPr="00FB108A" w:rsidRDefault="0044020C" w:rsidP="005179F1">
            <w:pPr>
              <w:jc w:val="center"/>
              <w:rPr>
                <w:b/>
                <w:bCs/>
                <w:color w:val="1B2956"/>
              </w:rPr>
            </w:pPr>
          </w:p>
        </w:tc>
        <w:tc>
          <w:tcPr>
            <w:tcW w:w="2511" w:type="dxa"/>
          </w:tcPr>
          <w:p w14:paraId="7179D6E5" w14:textId="45BC950D" w:rsidR="0044020C" w:rsidRDefault="00653C67" w:rsidP="005179F1">
            <w:hyperlink r:id="rId25" w:history="1">
              <w:r w:rsidR="0044020C" w:rsidRPr="001E5548">
                <w:rPr>
                  <w:rStyle w:val="Hyperlink"/>
                </w:rPr>
                <w:t>CAP</w:t>
              </w:r>
              <w:r w:rsidR="001E5548" w:rsidRPr="001E5548">
                <w:rPr>
                  <w:rStyle w:val="Hyperlink"/>
                </w:rPr>
                <w:t>’en</w:t>
              </w:r>
            </w:hyperlink>
            <w:r w:rsidR="001E5548">
              <w:t xml:space="preserve"> - </w:t>
            </w:r>
            <w:r w:rsidR="001E5548" w:rsidRPr="001E5548">
              <w:t>EU's fælles landbrugspolitik</w:t>
            </w:r>
            <w:r w:rsidR="001E5548">
              <w:t xml:space="preserve"> (2013) (</w:t>
            </w:r>
            <w:hyperlink r:id="rId26" w:history="1">
              <w:r w:rsidR="001E5548" w:rsidRPr="001E5548">
                <w:rPr>
                  <w:rStyle w:val="Hyperlink"/>
                </w:rPr>
                <w:t>Ny træder i kraft i 2023</w:t>
              </w:r>
            </w:hyperlink>
            <w:r w:rsidR="001E5548">
              <w:t>)</w:t>
            </w:r>
          </w:p>
        </w:tc>
        <w:tc>
          <w:tcPr>
            <w:tcW w:w="4667" w:type="dxa"/>
          </w:tcPr>
          <w:p w14:paraId="6A360BDF" w14:textId="06E45713" w:rsidR="0044020C" w:rsidRDefault="00732BC5" w:rsidP="005179F1">
            <w:r>
              <w:t>F</w:t>
            </w:r>
            <w:r w:rsidRPr="00732BC5">
              <w:t xml:space="preserve">astlægger de vilkår, </w:t>
            </w:r>
            <w:r>
              <w:t>som</w:t>
            </w:r>
            <w:r w:rsidRPr="00732BC5">
              <w:t xml:space="preserve"> landbruget </w:t>
            </w:r>
            <w:r>
              <w:t xml:space="preserve">skal operere under. </w:t>
            </w:r>
            <w:r w:rsidR="001627A4">
              <w:t xml:space="preserve">CAP’en </w:t>
            </w:r>
            <w:r w:rsidR="00765DE9">
              <w:t xml:space="preserve">er udformet ud fra målsætninger </w:t>
            </w:r>
            <w:r w:rsidR="001627A4">
              <w:t xml:space="preserve">om </w:t>
            </w:r>
            <w:r w:rsidR="00FD2BBA">
              <w:t xml:space="preserve">konkurrencedygtighed, </w:t>
            </w:r>
            <w:r w:rsidR="00765DE9">
              <w:t>innovation, effektivisering</w:t>
            </w:r>
            <w:r w:rsidR="00757A26">
              <w:t>, udvikling af landdistrikterne og et miljømæssigt bæredygtigt landbrug.</w:t>
            </w:r>
            <w:r w:rsidR="00406D6E">
              <w:t xml:space="preserve"> Den nye CAP lover, at </w:t>
            </w:r>
            <w:r w:rsidR="00E463D0">
              <w:t>40</w:t>
            </w:r>
            <w:r w:rsidR="00406D6E">
              <w:t xml:space="preserve">% af midlerne vil understøtte </w:t>
            </w:r>
            <w:r w:rsidR="00E463D0">
              <w:t xml:space="preserve">klima og biodiversitetstiltag. </w:t>
            </w:r>
          </w:p>
        </w:tc>
        <w:tc>
          <w:tcPr>
            <w:tcW w:w="1564" w:type="dxa"/>
          </w:tcPr>
          <w:p w14:paraId="36724D71" w14:textId="77777777" w:rsidR="0044020C" w:rsidRPr="0F6DCD9E" w:rsidRDefault="0044020C" w:rsidP="005179F1">
            <w:pPr>
              <w:rPr>
                <w:rFonts w:eastAsia="Calibri"/>
              </w:rPr>
            </w:pPr>
          </w:p>
        </w:tc>
      </w:tr>
      <w:tr w:rsidR="00A93AFF" w14:paraId="4C26D752" w14:textId="77777777" w:rsidTr="65F6A45A">
        <w:tc>
          <w:tcPr>
            <w:tcW w:w="886" w:type="dxa"/>
            <w:vMerge/>
            <w:vAlign w:val="center"/>
          </w:tcPr>
          <w:p w14:paraId="619948DC" w14:textId="73F6854E" w:rsidR="00A93AFF" w:rsidRPr="00FB108A" w:rsidRDefault="00A93AFF" w:rsidP="005179F1">
            <w:pPr>
              <w:jc w:val="center"/>
              <w:rPr>
                <w:b/>
                <w:bCs/>
                <w:color w:val="1B2956"/>
              </w:rPr>
            </w:pPr>
          </w:p>
        </w:tc>
        <w:tc>
          <w:tcPr>
            <w:tcW w:w="2511" w:type="dxa"/>
          </w:tcPr>
          <w:p w14:paraId="18172E6F" w14:textId="54F4B5F6" w:rsidR="00A93AFF" w:rsidRDefault="00653C67" w:rsidP="005179F1">
            <w:hyperlink r:id="rId27" w:history="1">
              <w:r w:rsidR="00A93AFF" w:rsidRPr="00EC2BA7">
                <w:rPr>
                  <w:rStyle w:val="Hyperlink"/>
                </w:rPr>
                <w:t>2030 Climate &amp; Energy Framework</w:t>
              </w:r>
            </w:hyperlink>
          </w:p>
          <w:p w14:paraId="508D127D" w14:textId="52D1FEA9" w:rsidR="00A93AFF" w:rsidRDefault="00A93AFF" w:rsidP="005179F1">
            <w:r>
              <w:t>(2014)</w:t>
            </w:r>
          </w:p>
        </w:tc>
        <w:tc>
          <w:tcPr>
            <w:tcW w:w="4667" w:type="dxa"/>
          </w:tcPr>
          <w:p w14:paraId="4F0B14D5" w14:textId="296DF4AB" w:rsidR="00A93AFF" w:rsidRDefault="00A93AFF" w:rsidP="005179F1">
            <w:r>
              <w:t xml:space="preserve">Viderefører struktur fra EU’s 20% i 2020 pakke, med mål for VE-udbygning (32% i 2030) og energieffektivisering (23,5% i 2030) samt reduktionsmål =40% i 2030) fordelt på kilder i EU ETS og en </w:t>
            </w:r>
            <w:r w:rsidR="008F6A6B">
              <w:t>indsats</w:t>
            </w:r>
            <w:r>
              <w:t xml:space="preserve">fordelingsaftale for sektorer udenfor ETS. Dertil en ny forordning for LULUCF.  </w:t>
            </w:r>
          </w:p>
        </w:tc>
        <w:tc>
          <w:tcPr>
            <w:tcW w:w="1564" w:type="dxa"/>
          </w:tcPr>
          <w:p w14:paraId="772B1DE5" w14:textId="77777777" w:rsidR="00A93AFF" w:rsidRDefault="00A93AFF" w:rsidP="005179F1"/>
        </w:tc>
      </w:tr>
      <w:tr w:rsidR="00A93AFF" w14:paraId="628F8D72" w14:textId="77777777" w:rsidTr="65F6A45A">
        <w:tc>
          <w:tcPr>
            <w:tcW w:w="886" w:type="dxa"/>
            <w:vMerge/>
            <w:vAlign w:val="center"/>
          </w:tcPr>
          <w:p w14:paraId="4384A52F" w14:textId="77777777" w:rsidR="00A93AFF" w:rsidRPr="00FB108A" w:rsidRDefault="00A93AFF" w:rsidP="005179F1">
            <w:pPr>
              <w:jc w:val="center"/>
              <w:rPr>
                <w:b/>
                <w:bCs/>
                <w:color w:val="1B2956"/>
              </w:rPr>
            </w:pPr>
          </w:p>
        </w:tc>
        <w:tc>
          <w:tcPr>
            <w:tcW w:w="2511" w:type="dxa"/>
          </w:tcPr>
          <w:p w14:paraId="52C1C5BA" w14:textId="7CDC334F" w:rsidR="00A93AFF" w:rsidRDefault="00653C67" w:rsidP="005179F1">
            <w:hyperlink r:id="rId28" w:history="1">
              <w:r w:rsidR="00A93AFF" w:rsidRPr="00970745">
                <w:rPr>
                  <w:rStyle w:val="Hyperlink"/>
                </w:rPr>
                <w:t>NEC-direktivet</w:t>
              </w:r>
            </w:hyperlink>
            <w:r w:rsidR="00A93AFF">
              <w:t xml:space="preserve"> (2018)</w:t>
            </w:r>
          </w:p>
        </w:tc>
        <w:tc>
          <w:tcPr>
            <w:tcW w:w="4667" w:type="dxa"/>
          </w:tcPr>
          <w:p w14:paraId="6ECB5F9D" w14:textId="32C08299" w:rsidR="00A93AFF" w:rsidRDefault="00A93AFF" w:rsidP="005179F1">
            <w:r w:rsidRPr="005E6E28">
              <w:t>Direktivet om nedbringelse af nationale emissioner af visse luftforurenende stoffer (NEC-direktivet) er et EU-direktiv, der har til formål at reducere luftforureningen i Europa.</w:t>
            </w:r>
            <w:r>
              <w:t xml:space="preserve"> </w:t>
            </w:r>
            <w:r w:rsidRPr="00120A0D">
              <w:t>Det drejer sig om kvælstofoxider (NOx), svovldioxid (SO2), ammoniak (NH3), flygtige organiske forbindelser undtagen metan (NMVOC) og fine partikler (PM2,5).</w:t>
            </w:r>
          </w:p>
        </w:tc>
        <w:tc>
          <w:tcPr>
            <w:tcW w:w="1564" w:type="dxa"/>
          </w:tcPr>
          <w:p w14:paraId="0B1FEB39" w14:textId="77777777" w:rsidR="00A93AFF" w:rsidRDefault="00A93AFF" w:rsidP="005179F1"/>
        </w:tc>
      </w:tr>
      <w:tr w:rsidR="00A93AFF" w14:paraId="06B4BF65" w14:textId="77777777" w:rsidTr="65F6A45A">
        <w:tc>
          <w:tcPr>
            <w:tcW w:w="886" w:type="dxa"/>
            <w:vMerge/>
            <w:vAlign w:val="center"/>
          </w:tcPr>
          <w:p w14:paraId="2690CE02" w14:textId="08B816CB" w:rsidR="00A93AFF" w:rsidRPr="00FB108A" w:rsidRDefault="00A93AFF" w:rsidP="005179F1">
            <w:pPr>
              <w:jc w:val="center"/>
              <w:rPr>
                <w:b/>
                <w:bCs/>
                <w:color w:val="1B2956"/>
              </w:rPr>
            </w:pPr>
          </w:p>
        </w:tc>
        <w:tc>
          <w:tcPr>
            <w:tcW w:w="2511" w:type="dxa"/>
          </w:tcPr>
          <w:p w14:paraId="1C3BFB72" w14:textId="28F385CF" w:rsidR="00A93AFF" w:rsidRDefault="00653C67" w:rsidP="005179F1">
            <w:hyperlink r:id="rId29" w:history="1">
              <w:r w:rsidR="00A93AFF" w:rsidRPr="00092157">
                <w:rPr>
                  <w:rStyle w:val="Hyperlink"/>
                </w:rPr>
                <w:t>European Green Deal</w:t>
              </w:r>
            </w:hyperlink>
            <w:r w:rsidR="00A93AFF">
              <w:t xml:space="preserve"> (2019)</w:t>
            </w:r>
          </w:p>
        </w:tc>
        <w:tc>
          <w:tcPr>
            <w:tcW w:w="4667" w:type="dxa"/>
          </w:tcPr>
          <w:p w14:paraId="4429FA4A" w14:textId="799A67E0" w:rsidR="00A93AFF" w:rsidRDefault="00A93AFF" w:rsidP="005179F1">
            <w:r>
              <w:t>Europæisk klimalov, som f</w:t>
            </w:r>
            <w:r w:rsidRPr="00094452">
              <w:t xml:space="preserve">astlægger mål om klimaneutralitet i 2050 </w:t>
            </w:r>
            <w:r>
              <w:t>ved lov samt opjusterer 2030 reduktionsmål til mindst 55% i forhold til 1990.</w:t>
            </w:r>
          </w:p>
        </w:tc>
        <w:tc>
          <w:tcPr>
            <w:tcW w:w="1564" w:type="dxa"/>
          </w:tcPr>
          <w:p w14:paraId="1973B35D" w14:textId="77777777" w:rsidR="00A93AFF" w:rsidRDefault="00A93AFF" w:rsidP="005179F1"/>
        </w:tc>
      </w:tr>
      <w:tr w:rsidR="00AD00BF" w14:paraId="4D122A35" w14:textId="77777777" w:rsidTr="65F6A45A">
        <w:tc>
          <w:tcPr>
            <w:tcW w:w="886" w:type="dxa"/>
            <w:vMerge/>
            <w:vAlign w:val="center"/>
          </w:tcPr>
          <w:p w14:paraId="1B553327" w14:textId="77777777" w:rsidR="00AD00BF" w:rsidRPr="00FB108A" w:rsidRDefault="00AD00BF" w:rsidP="005179F1">
            <w:pPr>
              <w:jc w:val="center"/>
              <w:rPr>
                <w:b/>
                <w:bCs/>
                <w:color w:val="1B2956"/>
              </w:rPr>
            </w:pPr>
          </w:p>
        </w:tc>
        <w:tc>
          <w:tcPr>
            <w:tcW w:w="2511" w:type="dxa"/>
          </w:tcPr>
          <w:p w14:paraId="2E9827DA" w14:textId="061952CA" w:rsidR="00AD00BF" w:rsidRDefault="00653C67" w:rsidP="005179F1">
            <w:hyperlink r:id="rId30" w:history="1">
              <w:r w:rsidR="00AD00BF" w:rsidRPr="00F04C84">
                <w:rPr>
                  <w:rStyle w:val="Hyperlink"/>
                </w:rPr>
                <w:t xml:space="preserve">Farm to Fork </w:t>
              </w:r>
              <w:r w:rsidR="00F04C84" w:rsidRPr="00F04C84">
                <w:rPr>
                  <w:rStyle w:val="Hyperlink"/>
                </w:rPr>
                <w:t>strategi</w:t>
              </w:r>
            </w:hyperlink>
            <w:r w:rsidR="00F04C84">
              <w:t xml:space="preserve"> (2020)</w:t>
            </w:r>
          </w:p>
        </w:tc>
        <w:tc>
          <w:tcPr>
            <w:tcW w:w="4667" w:type="dxa"/>
          </w:tcPr>
          <w:p w14:paraId="1E3D9104" w14:textId="3A8C09F1" w:rsidR="00AD00BF" w:rsidRDefault="006256C3" w:rsidP="005179F1">
            <w:r>
              <w:t xml:space="preserve">25% af EU's landbrug er økologiske. </w:t>
            </w:r>
            <w:r w:rsidR="00F04C84">
              <w:t xml:space="preserve">50% reduktion af pesticider i EU i 2030. </w:t>
            </w:r>
            <w:r w:rsidR="00614B49">
              <w:t xml:space="preserve">50% reduktion af nærringsstoftab i 2030. 20% mindre kunstgødning i 2030. </w:t>
            </w:r>
            <w:r w:rsidR="00F6002C">
              <w:t xml:space="preserve">Desuden mindre madspild, </w:t>
            </w:r>
            <w:r w:rsidR="002E6104">
              <w:t xml:space="preserve">gøre det bæredygtige madvalg nemmere og opfordre til bæredygtig konsumering. </w:t>
            </w:r>
          </w:p>
        </w:tc>
        <w:tc>
          <w:tcPr>
            <w:tcW w:w="1564" w:type="dxa"/>
          </w:tcPr>
          <w:p w14:paraId="3AF1107C" w14:textId="77777777" w:rsidR="00AD00BF" w:rsidRDefault="00AD00BF" w:rsidP="005179F1"/>
        </w:tc>
      </w:tr>
      <w:tr w:rsidR="00A93AFF" w14:paraId="1865570F" w14:textId="77777777" w:rsidTr="65F6A45A">
        <w:tc>
          <w:tcPr>
            <w:tcW w:w="886" w:type="dxa"/>
            <w:vMerge/>
            <w:vAlign w:val="center"/>
          </w:tcPr>
          <w:p w14:paraId="09D410A0" w14:textId="77777777" w:rsidR="00A93AFF" w:rsidRPr="0072259D" w:rsidRDefault="00A93AFF" w:rsidP="005179F1">
            <w:pPr>
              <w:jc w:val="center"/>
              <w:rPr>
                <w:b/>
                <w:bCs/>
              </w:rPr>
            </w:pPr>
          </w:p>
        </w:tc>
        <w:tc>
          <w:tcPr>
            <w:tcW w:w="2511" w:type="dxa"/>
          </w:tcPr>
          <w:p w14:paraId="278E6E9E" w14:textId="37E22550" w:rsidR="00A93AFF" w:rsidRDefault="00653C67" w:rsidP="005179F1">
            <w:hyperlink r:id="rId31" w:history="1">
              <w:r w:rsidR="00A93AFF" w:rsidRPr="00644AD4">
                <w:rPr>
                  <w:rStyle w:val="Hyperlink"/>
                </w:rPr>
                <w:t>Handlingsplan for cirkulær økonomi</w:t>
              </w:r>
            </w:hyperlink>
            <w:r w:rsidR="00A93AFF">
              <w:t xml:space="preserve"> (2020)</w:t>
            </w:r>
          </w:p>
        </w:tc>
        <w:tc>
          <w:tcPr>
            <w:tcW w:w="4667" w:type="dxa"/>
          </w:tcPr>
          <w:p w14:paraId="1E36687C" w14:textId="79BE4055" w:rsidR="00A93AFF" w:rsidRDefault="00A93AFF" w:rsidP="005179F1">
            <w:r>
              <w:t>At fremme omstillingen til cirkulær økonomi heriblandt cirkularitet i produktionsprocesserne.</w:t>
            </w:r>
          </w:p>
        </w:tc>
        <w:tc>
          <w:tcPr>
            <w:tcW w:w="1564" w:type="dxa"/>
          </w:tcPr>
          <w:p w14:paraId="285322A8" w14:textId="77777777" w:rsidR="00A93AFF" w:rsidRDefault="00A93AFF" w:rsidP="005179F1"/>
        </w:tc>
      </w:tr>
      <w:tr w:rsidR="00A93AFF" w14:paraId="3CD67CA6" w14:textId="77777777" w:rsidTr="65F6A45A">
        <w:tc>
          <w:tcPr>
            <w:tcW w:w="886" w:type="dxa"/>
            <w:vMerge/>
            <w:vAlign w:val="center"/>
          </w:tcPr>
          <w:p w14:paraId="5F1F398A" w14:textId="77777777" w:rsidR="00A93AFF" w:rsidRPr="0072259D" w:rsidRDefault="00A93AFF" w:rsidP="005179F1">
            <w:pPr>
              <w:jc w:val="center"/>
              <w:rPr>
                <w:b/>
                <w:bCs/>
              </w:rPr>
            </w:pPr>
          </w:p>
        </w:tc>
        <w:tc>
          <w:tcPr>
            <w:tcW w:w="2511" w:type="dxa"/>
          </w:tcPr>
          <w:p w14:paraId="4BEF57A5" w14:textId="4AA1FAAF" w:rsidR="00A93AFF" w:rsidRDefault="00653C67" w:rsidP="005179F1">
            <w:hyperlink r:id="rId32" w:history="1">
              <w:r w:rsidR="00A93AFF" w:rsidRPr="00752959">
                <w:rPr>
                  <w:rStyle w:val="Hyperlink"/>
                </w:rPr>
                <w:t>Klimatilpasningsstrategi</w:t>
              </w:r>
            </w:hyperlink>
            <w:r w:rsidR="00A93AFF">
              <w:t xml:space="preserve"> (2021)</w:t>
            </w:r>
          </w:p>
        </w:tc>
        <w:tc>
          <w:tcPr>
            <w:tcW w:w="4667" w:type="dxa"/>
          </w:tcPr>
          <w:p w14:paraId="38024017" w14:textId="431AEB42" w:rsidR="00A93AFF" w:rsidRDefault="00A93AFF" w:rsidP="005179F1">
            <w:r>
              <w:t>At sikre tilpasning og resiliens i EU inden 2050</w:t>
            </w:r>
          </w:p>
        </w:tc>
        <w:tc>
          <w:tcPr>
            <w:tcW w:w="1564" w:type="dxa"/>
          </w:tcPr>
          <w:p w14:paraId="49618274" w14:textId="77777777" w:rsidR="00A93AFF" w:rsidRDefault="00A93AFF" w:rsidP="005179F1"/>
        </w:tc>
      </w:tr>
      <w:tr w:rsidR="00A93AFF" w:rsidRPr="00F5189E" w14:paraId="6C70F671" w14:textId="77777777" w:rsidTr="65F6A45A">
        <w:tc>
          <w:tcPr>
            <w:tcW w:w="886" w:type="dxa"/>
            <w:vMerge/>
            <w:vAlign w:val="center"/>
          </w:tcPr>
          <w:p w14:paraId="42C5BD78" w14:textId="77777777" w:rsidR="00A93AFF" w:rsidRPr="003752E2" w:rsidRDefault="00A93AFF" w:rsidP="005179F1">
            <w:pPr>
              <w:jc w:val="center"/>
              <w:rPr>
                <w:b/>
                <w:bCs/>
              </w:rPr>
            </w:pPr>
          </w:p>
        </w:tc>
        <w:tc>
          <w:tcPr>
            <w:tcW w:w="2511" w:type="dxa"/>
          </w:tcPr>
          <w:p w14:paraId="37027C69" w14:textId="19D2C9B8" w:rsidR="00A93AFF" w:rsidRDefault="00653C67" w:rsidP="005179F1">
            <w:hyperlink r:id="rId33" w:history="1">
              <w:r w:rsidR="00A93AFF" w:rsidRPr="00E0060B">
                <w:rPr>
                  <w:rStyle w:val="Hyperlink"/>
                </w:rPr>
                <w:t>Fit for 55</w:t>
              </w:r>
            </w:hyperlink>
            <w:r w:rsidR="00A93AFF">
              <w:t xml:space="preserve"> (forventes vedtaget i 2022</w:t>
            </w:r>
            <w:r w:rsidR="00231C9F">
              <w:t>/2023</w:t>
            </w:r>
            <w:r w:rsidR="00A93AFF">
              <w:t>)</w:t>
            </w:r>
          </w:p>
        </w:tc>
        <w:tc>
          <w:tcPr>
            <w:tcW w:w="4667" w:type="dxa"/>
          </w:tcPr>
          <w:p w14:paraId="756B9D7C" w14:textId="05A71BE1" w:rsidR="00A93AFF" w:rsidRPr="00F5189E" w:rsidRDefault="76A52DE9" w:rsidP="005179F1">
            <w:r>
              <w:t>Fit for 55-pakken består af en række forslag om at revidere og ajourføre EU indsatser, så de stemmer med 55% målsætningen, herunder mål for VE (40%) og energieffektivisering (36%),</w:t>
            </w:r>
            <w:r w:rsidR="2FA5DB91">
              <w:t xml:space="preserve"> en del forslag af betydning for transport, herunder nye krav om infrastruktur for alternativ transportenergi,</w:t>
            </w:r>
            <w:r>
              <w:t xml:space="preserve"> samt reduktionsmål i EU ETS, </w:t>
            </w:r>
            <w:r w:rsidR="2DA33C51">
              <w:t>indsats</w:t>
            </w:r>
            <w:r>
              <w:t>fordeling og for LULUCF.</w:t>
            </w:r>
          </w:p>
        </w:tc>
        <w:tc>
          <w:tcPr>
            <w:tcW w:w="1564" w:type="dxa"/>
          </w:tcPr>
          <w:p w14:paraId="3C8599FB" w14:textId="77777777" w:rsidR="00A93AFF" w:rsidRPr="00F5189E" w:rsidRDefault="00A93AFF" w:rsidP="005179F1"/>
        </w:tc>
      </w:tr>
    </w:tbl>
    <w:p w14:paraId="1C495BC5" w14:textId="77777777" w:rsidR="00EF3AE2" w:rsidRDefault="00EF3AE2"/>
    <w:p w14:paraId="12B40519" w14:textId="77777777" w:rsidR="00BD3504" w:rsidRDefault="00BD3504"/>
    <w:p w14:paraId="14F612CD" w14:textId="1FF1C68B" w:rsidR="00896E19" w:rsidRDefault="00896E19" w:rsidP="00896E19">
      <w:pPr>
        <w:pStyle w:val="Overskrift1"/>
      </w:pPr>
      <w:r>
        <w:t xml:space="preserve">Nationale forpligtigelser </w:t>
      </w:r>
      <w:r w:rsidR="00D43C81">
        <w:t>og rammevilkår</w:t>
      </w:r>
    </w:p>
    <w:tbl>
      <w:tblPr>
        <w:tblStyle w:val="Tabel-Gitter"/>
        <w:tblW w:w="0" w:type="auto"/>
        <w:tblLook w:val="04A0" w:firstRow="1" w:lastRow="0" w:firstColumn="1" w:lastColumn="0" w:noHBand="0" w:noVBand="1"/>
      </w:tblPr>
      <w:tblGrid>
        <w:gridCol w:w="963"/>
        <w:gridCol w:w="2082"/>
        <w:gridCol w:w="4972"/>
        <w:gridCol w:w="1611"/>
      </w:tblGrid>
      <w:tr w:rsidR="001D6F03" w:rsidRPr="006B2CE6" w14:paraId="22A765DA" w14:textId="77777777" w:rsidTr="036616C2">
        <w:tc>
          <w:tcPr>
            <w:tcW w:w="963" w:type="dxa"/>
            <w:shd w:val="clear" w:color="auto" w:fill="ACC5B5"/>
            <w:vAlign w:val="center"/>
          </w:tcPr>
          <w:p w14:paraId="1056A18F" w14:textId="77777777" w:rsidR="007E347E" w:rsidRPr="00FB108A" w:rsidRDefault="007E347E" w:rsidP="00896E19">
            <w:pPr>
              <w:jc w:val="center"/>
              <w:rPr>
                <w:b/>
                <w:bCs/>
                <w:color w:val="1B2956"/>
              </w:rPr>
            </w:pPr>
          </w:p>
        </w:tc>
        <w:tc>
          <w:tcPr>
            <w:tcW w:w="2082" w:type="dxa"/>
            <w:shd w:val="clear" w:color="auto" w:fill="ACC5B5"/>
            <w:vAlign w:val="center"/>
          </w:tcPr>
          <w:p w14:paraId="66809C40" w14:textId="77777777" w:rsidR="007E347E" w:rsidRPr="00FB108A" w:rsidRDefault="007E347E" w:rsidP="00896E19">
            <w:pPr>
              <w:jc w:val="center"/>
              <w:rPr>
                <w:b/>
                <w:bCs/>
                <w:color w:val="1B2956"/>
              </w:rPr>
            </w:pPr>
            <w:r w:rsidRPr="00FB108A">
              <w:rPr>
                <w:b/>
                <w:bCs/>
                <w:color w:val="1B2956"/>
              </w:rPr>
              <w:t>Aftale</w:t>
            </w:r>
          </w:p>
        </w:tc>
        <w:tc>
          <w:tcPr>
            <w:tcW w:w="4972" w:type="dxa"/>
            <w:shd w:val="clear" w:color="auto" w:fill="ACC5B5"/>
            <w:vAlign w:val="center"/>
          </w:tcPr>
          <w:p w14:paraId="6EF73104" w14:textId="77777777" w:rsidR="007E347E" w:rsidRPr="00FB108A" w:rsidRDefault="007E347E" w:rsidP="00896E19">
            <w:pPr>
              <w:jc w:val="center"/>
              <w:rPr>
                <w:b/>
                <w:bCs/>
                <w:color w:val="1B2956"/>
              </w:rPr>
            </w:pPr>
            <w:r w:rsidRPr="00FB108A">
              <w:rPr>
                <w:b/>
                <w:bCs/>
                <w:color w:val="1B2956"/>
              </w:rPr>
              <w:t>Forpligtelser og mål</w:t>
            </w:r>
          </w:p>
        </w:tc>
        <w:tc>
          <w:tcPr>
            <w:tcW w:w="1611" w:type="dxa"/>
            <w:shd w:val="clear" w:color="auto" w:fill="ACC5B5"/>
            <w:vAlign w:val="center"/>
          </w:tcPr>
          <w:p w14:paraId="1C206AA1" w14:textId="77777777" w:rsidR="007E347E" w:rsidRPr="00FB108A" w:rsidRDefault="007E347E" w:rsidP="00896E19">
            <w:pPr>
              <w:jc w:val="center"/>
              <w:rPr>
                <w:b/>
                <w:bCs/>
                <w:color w:val="1B2956"/>
              </w:rPr>
            </w:pPr>
            <w:r w:rsidRPr="00FB108A">
              <w:rPr>
                <w:b/>
                <w:bCs/>
                <w:color w:val="1B2956"/>
              </w:rPr>
              <w:t>Betydning på lokalt niveau</w:t>
            </w:r>
          </w:p>
        </w:tc>
      </w:tr>
      <w:tr w:rsidR="00FC236B" w14:paraId="1602A5FA" w14:textId="77777777" w:rsidTr="036616C2">
        <w:tc>
          <w:tcPr>
            <w:tcW w:w="963" w:type="dxa"/>
            <w:vMerge w:val="restart"/>
            <w:shd w:val="clear" w:color="auto" w:fill="ACC5B5"/>
            <w:vAlign w:val="center"/>
          </w:tcPr>
          <w:p w14:paraId="4ACF24F4" w14:textId="77777777" w:rsidR="00FC236B" w:rsidRPr="0072259D" w:rsidRDefault="00FC236B" w:rsidP="00FC236B">
            <w:pPr>
              <w:jc w:val="center"/>
              <w:rPr>
                <w:b/>
                <w:bCs/>
              </w:rPr>
            </w:pPr>
            <w:r w:rsidRPr="00FB108A">
              <w:rPr>
                <w:b/>
                <w:bCs/>
                <w:color w:val="1B2956"/>
              </w:rPr>
              <w:t>Nationalt</w:t>
            </w:r>
          </w:p>
        </w:tc>
        <w:tc>
          <w:tcPr>
            <w:tcW w:w="2082" w:type="dxa"/>
          </w:tcPr>
          <w:p w14:paraId="07C98DFE" w14:textId="70C28F28" w:rsidR="00FC236B" w:rsidRDefault="00653C67" w:rsidP="00FC236B">
            <w:hyperlink r:id="rId34">
              <w:r w:rsidR="00FC236B" w:rsidRPr="6980DDB8">
                <w:rPr>
                  <w:rStyle w:val="Hyperlink"/>
                </w:rPr>
                <w:t>Handlingsplan for klimasikring af Danmark</w:t>
              </w:r>
            </w:hyperlink>
            <w:r w:rsidR="00FC236B">
              <w:t xml:space="preserve"> (2012) (ny plan forventes i 2022)</w:t>
            </w:r>
          </w:p>
        </w:tc>
        <w:tc>
          <w:tcPr>
            <w:tcW w:w="4972" w:type="dxa"/>
          </w:tcPr>
          <w:p w14:paraId="5A590B95" w14:textId="72FAE033" w:rsidR="00FC236B" w:rsidRDefault="00FC236B" w:rsidP="00FC236B">
            <w:r w:rsidRPr="00FB3EF8">
              <w:t>Staten skal sørge for de bedst mulige rammer for kommunernes klimatilpasning</w:t>
            </w:r>
            <w:r>
              <w:t xml:space="preserve"> samt </w:t>
            </w:r>
            <w:r w:rsidRPr="0064407F">
              <w:t>reducere konsekvenserne af klimaforandringern</w:t>
            </w:r>
            <w:r>
              <w:t xml:space="preserve">e. </w:t>
            </w:r>
          </w:p>
        </w:tc>
        <w:tc>
          <w:tcPr>
            <w:tcW w:w="1611" w:type="dxa"/>
          </w:tcPr>
          <w:p w14:paraId="251E49D1" w14:textId="77777777" w:rsidR="00FC236B" w:rsidRDefault="00FC236B" w:rsidP="00FC236B"/>
        </w:tc>
      </w:tr>
      <w:tr w:rsidR="00FC236B" w14:paraId="55A251D2" w14:textId="77777777" w:rsidTr="036616C2">
        <w:tc>
          <w:tcPr>
            <w:tcW w:w="963" w:type="dxa"/>
            <w:vMerge/>
          </w:tcPr>
          <w:p w14:paraId="7EA6337F" w14:textId="77777777" w:rsidR="00FC236B" w:rsidRDefault="00FC236B" w:rsidP="00FC236B"/>
        </w:tc>
        <w:tc>
          <w:tcPr>
            <w:tcW w:w="2082" w:type="dxa"/>
          </w:tcPr>
          <w:p w14:paraId="49127A82" w14:textId="60F38406" w:rsidR="00FC236B" w:rsidRDefault="00653C67" w:rsidP="00FC236B">
            <w:hyperlink r:id="rId35" w:history="1">
              <w:r w:rsidR="00FC236B" w:rsidRPr="005B4A73">
                <w:rPr>
                  <w:rStyle w:val="Hyperlink"/>
                </w:rPr>
                <w:t>Energiaftale</w:t>
              </w:r>
            </w:hyperlink>
            <w:r w:rsidR="00FC236B">
              <w:t xml:space="preserve"> (2018)</w:t>
            </w:r>
          </w:p>
        </w:tc>
        <w:tc>
          <w:tcPr>
            <w:tcW w:w="4972" w:type="dxa"/>
          </w:tcPr>
          <w:p w14:paraId="64F2B24E" w14:textId="24C0FE34" w:rsidR="00FC236B" w:rsidRDefault="00FC236B" w:rsidP="00FC236B">
            <w:r>
              <w:t>55% vedvarende energi i 2030 i det endelige energiforbrug, ingen brug af kul i el-produktion i 2030 og mindst 90% af fjernvarmebruget baseret på vedvarende energi i 2030.</w:t>
            </w:r>
          </w:p>
        </w:tc>
        <w:tc>
          <w:tcPr>
            <w:tcW w:w="1611" w:type="dxa"/>
          </w:tcPr>
          <w:p w14:paraId="4DAF3573" w14:textId="77777777" w:rsidR="00FC236B" w:rsidRDefault="00FC236B" w:rsidP="00FC236B"/>
        </w:tc>
      </w:tr>
      <w:tr w:rsidR="00FC236B" w14:paraId="716DC4FE" w14:textId="77777777" w:rsidTr="036616C2">
        <w:tc>
          <w:tcPr>
            <w:tcW w:w="963" w:type="dxa"/>
            <w:vMerge/>
          </w:tcPr>
          <w:p w14:paraId="5A5A9DCE" w14:textId="77777777" w:rsidR="00FC236B" w:rsidRDefault="00FC236B" w:rsidP="00FC236B"/>
        </w:tc>
        <w:tc>
          <w:tcPr>
            <w:tcW w:w="2082" w:type="dxa"/>
          </w:tcPr>
          <w:p w14:paraId="6164D751" w14:textId="50835689" w:rsidR="00FC236B" w:rsidRDefault="00653C67" w:rsidP="00FC236B">
            <w:hyperlink r:id="rId36" w:history="1">
              <w:r w:rsidR="00FC236B" w:rsidRPr="0057082F">
                <w:rPr>
                  <w:rStyle w:val="Hyperlink"/>
                </w:rPr>
                <w:t>Husdyrbrugloven</w:t>
              </w:r>
            </w:hyperlink>
            <w:r w:rsidR="00FC236B">
              <w:t xml:space="preserve"> (2018)</w:t>
            </w:r>
          </w:p>
        </w:tc>
        <w:tc>
          <w:tcPr>
            <w:tcW w:w="4972" w:type="dxa"/>
          </w:tcPr>
          <w:p w14:paraId="74A53A21" w14:textId="622F1B48" w:rsidR="00FC236B" w:rsidRPr="00FB3EF8" w:rsidRDefault="00415CA9" w:rsidP="00FC236B">
            <w:r>
              <w:t xml:space="preserve">Fastsætter </w:t>
            </w:r>
            <w:r w:rsidR="009B02F4">
              <w:t>regler for anvendelse af gødning</w:t>
            </w:r>
            <w:r w:rsidR="001E1DB6">
              <w:t xml:space="preserve">, </w:t>
            </w:r>
            <w:r w:rsidR="00D57D1C">
              <w:t xml:space="preserve">placering for </w:t>
            </w:r>
            <w:r w:rsidR="001E1DB6">
              <w:t>nybyggeri af stalde til husdyr,</w:t>
            </w:r>
            <w:r w:rsidR="005F442F">
              <w:t xml:space="preserve"> lugt- og støjgener</w:t>
            </w:r>
            <w:r w:rsidR="00FE05C1">
              <w:t xml:space="preserve"> mv. </w:t>
            </w:r>
          </w:p>
        </w:tc>
        <w:tc>
          <w:tcPr>
            <w:tcW w:w="1611" w:type="dxa"/>
          </w:tcPr>
          <w:p w14:paraId="01B3FFEC" w14:textId="77777777" w:rsidR="00FC236B" w:rsidRDefault="00FC236B" w:rsidP="00FC236B"/>
        </w:tc>
      </w:tr>
      <w:tr w:rsidR="00FC236B" w14:paraId="2EA96040" w14:textId="77777777" w:rsidTr="036616C2">
        <w:tc>
          <w:tcPr>
            <w:tcW w:w="963" w:type="dxa"/>
            <w:vMerge/>
            <w:vAlign w:val="center"/>
          </w:tcPr>
          <w:p w14:paraId="5D744EE5" w14:textId="77777777" w:rsidR="00FC236B" w:rsidRDefault="00FC236B" w:rsidP="00FC236B"/>
        </w:tc>
        <w:tc>
          <w:tcPr>
            <w:tcW w:w="2082" w:type="dxa"/>
          </w:tcPr>
          <w:p w14:paraId="4D913E9A" w14:textId="62EBC885" w:rsidR="00FC236B" w:rsidRDefault="00653C67" w:rsidP="00FC236B">
            <w:pPr>
              <w:rPr>
                <w:rFonts w:eastAsia="Calibri"/>
                <w:highlight w:val="yellow"/>
              </w:rPr>
            </w:pPr>
            <w:hyperlink r:id="rId37" w:history="1">
              <w:r w:rsidR="00FC236B" w:rsidRPr="00236CFA">
                <w:rPr>
                  <w:rStyle w:val="Hyperlink"/>
                  <w:rFonts w:eastAsia="Calibri"/>
                </w:rPr>
                <w:t>Planloven</w:t>
              </w:r>
            </w:hyperlink>
            <w:r w:rsidR="00FC236B" w:rsidRPr="002E5E06">
              <w:rPr>
                <w:rFonts w:eastAsia="Calibri"/>
              </w:rPr>
              <w:t xml:space="preserve"> (jf. ændring 1. </w:t>
            </w:r>
            <w:r w:rsidR="007D7D7D">
              <w:rPr>
                <w:rFonts w:eastAsia="Calibri"/>
              </w:rPr>
              <w:t>f</w:t>
            </w:r>
            <w:r w:rsidR="00FC236B" w:rsidRPr="002E5E06">
              <w:rPr>
                <w:rFonts w:eastAsia="Calibri"/>
              </w:rPr>
              <w:t>eb. 2018)</w:t>
            </w:r>
          </w:p>
        </w:tc>
        <w:tc>
          <w:tcPr>
            <w:tcW w:w="4972" w:type="dxa"/>
          </w:tcPr>
          <w:p w14:paraId="7BF7D2E2" w14:textId="258E7EE8" w:rsidR="00FC236B" w:rsidRDefault="00FC236B" w:rsidP="00FC236B">
            <w:pPr>
              <w:rPr>
                <w:rFonts w:eastAsia="Arial"/>
              </w:rPr>
            </w:pPr>
            <w:r w:rsidRPr="0F6DCD9E">
              <w:rPr>
                <w:rFonts w:eastAsia="Arial"/>
              </w:rPr>
              <w:t>Planlovens regler giver kommunerne muligheder for gennem fysisk planlægning at beskytte byer og kystområder imod oversvømmelse og erosion. Der er krav om udpegning af oversvømmelses- og erosionstruede områder i kommuneplanen.</w:t>
            </w:r>
          </w:p>
        </w:tc>
        <w:tc>
          <w:tcPr>
            <w:tcW w:w="1611" w:type="dxa"/>
          </w:tcPr>
          <w:p w14:paraId="50D1385D" w14:textId="09FCB2B9" w:rsidR="00FC236B" w:rsidRDefault="00FC236B" w:rsidP="00FC236B">
            <w:pPr>
              <w:rPr>
                <w:rFonts w:eastAsia="Calibri"/>
              </w:rPr>
            </w:pPr>
          </w:p>
        </w:tc>
      </w:tr>
      <w:tr w:rsidR="00FC236B" w14:paraId="2E201905" w14:textId="77777777" w:rsidTr="036616C2">
        <w:tc>
          <w:tcPr>
            <w:tcW w:w="963" w:type="dxa"/>
            <w:vMerge/>
            <w:vAlign w:val="center"/>
          </w:tcPr>
          <w:p w14:paraId="6A59BC91" w14:textId="77777777" w:rsidR="00FC236B" w:rsidRDefault="00FC236B" w:rsidP="00FC236B"/>
        </w:tc>
        <w:tc>
          <w:tcPr>
            <w:tcW w:w="2082" w:type="dxa"/>
          </w:tcPr>
          <w:p w14:paraId="0FA40216" w14:textId="3600885F" w:rsidR="00FC236B" w:rsidRDefault="00653C67" w:rsidP="00FC236B">
            <w:hyperlink r:id="rId38" w:history="1">
              <w:r w:rsidR="00FC236B" w:rsidRPr="00E67AA7">
                <w:rPr>
                  <w:rStyle w:val="Hyperlink"/>
                </w:rPr>
                <w:t>Klimalov</w:t>
              </w:r>
            </w:hyperlink>
            <w:r w:rsidR="00FC236B">
              <w:t xml:space="preserve"> (2020)</w:t>
            </w:r>
          </w:p>
        </w:tc>
        <w:tc>
          <w:tcPr>
            <w:tcW w:w="4972" w:type="dxa"/>
          </w:tcPr>
          <w:p w14:paraId="21F0BFB0" w14:textId="4D7C6660" w:rsidR="00FC236B" w:rsidRPr="0F6DCD9E" w:rsidRDefault="00FC236B" w:rsidP="00FC236B">
            <w:pPr>
              <w:rPr>
                <w:rFonts w:eastAsia="Arial"/>
              </w:rPr>
            </w:pPr>
            <w:r>
              <w:t>At sikre reduktion af udledningen af drivhusgasser med 70% i 2030 ift. 1990 og klimaneutralitet i 2050.</w:t>
            </w:r>
          </w:p>
        </w:tc>
        <w:tc>
          <w:tcPr>
            <w:tcW w:w="1611" w:type="dxa"/>
          </w:tcPr>
          <w:p w14:paraId="2BF69788" w14:textId="77777777" w:rsidR="00FC236B" w:rsidRDefault="00FC236B" w:rsidP="00FC236B">
            <w:pPr>
              <w:rPr>
                <w:rFonts w:eastAsia="Calibri"/>
              </w:rPr>
            </w:pPr>
          </w:p>
        </w:tc>
      </w:tr>
      <w:tr w:rsidR="00FC236B" w14:paraId="2692C765" w14:textId="77777777" w:rsidTr="036616C2">
        <w:tc>
          <w:tcPr>
            <w:tcW w:w="963" w:type="dxa"/>
            <w:vMerge/>
          </w:tcPr>
          <w:p w14:paraId="78A96F99" w14:textId="77777777" w:rsidR="00FC236B" w:rsidRDefault="00FC236B" w:rsidP="00FC236B"/>
        </w:tc>
        <w:tc>
          <w:tcPr>
            <w:tcW w:w="2082" w:type="dxa"/>
          </w:tcPr>
          <w:p w14:paraId="172B3134" w14:textId="716F4899" w:rsidR="00FC236B" w:rsidRDefault="00FC236B" w:rsidP="00FC236B">
            <w:pPr>
              <w:rPr>
                <w:highlight w:val="yellow"/>
              </w:rPr>
            </w:pPr>
            <w:r w:rsidRPr="00A3016D">
              <w:t>Spildevandsselskabernes</w:t>
            </w:r>
            <w:r w:rsidRPr="002E5E06">
              <w:t xml:space="preserve"> finansiering af klimatilpasning (</w:t>
            </w:r>
            <w:hyperlink r:id="rId39" w:history="1">
              <w:r w:rsidRPr="002E5E06">
                <w:rPr>
                  <w:rStyle w:val="Hyperlink"/>
                </w:rPr>
                <w:t>serviceniveaubekendtgørelsen</w:t>
              </w:r>
            </w:hyperlink>
            <w:r w:rsidRPr="002E5E06">
              <w:t xml:space="preserve"> og </w:t>
            </w:r>
            <w:hyperlink r:id="rId40" w:history="1">
              <w:r w:rsidRPr="002E5E06">
                <w:rPr>
                  <w:rStyle w:val="Hyperlink"/>
                </w:rPr>
                <w:t>omkostningsbekendtgørelsen</w:t>
              </w:r>
            </w:hyperlink>
            <w:r w:rsidRPr="002E5E06">
              <w:t>)</w:t>
            </w:r>
          </w:p>
        </w:tc>
        <w:tc>
          <w:tcPr>
            <w:tcW w:w="4972" w:type="dxa"/>
          </w:tcPr>
          <w:p w14:paraId="62BD5535" w14:textId="56260235" w:rsidR="00FC236B" w:rsidRDefault="00FC236B" w:rsidP="00FC236B">
            <w:r>
              <w:t xml:space="preserve">Fra 1. januar 2021 skal det dokumenteres, at niveauet for klimatilpasningen er samfundsøkonomisk hensigtsmæssigt, når det fastsatte serviceniveau for spildevandsforsyningsselskabers håndtering af regnvand går ud over et grundlæggende niveau. Læs mere her: </w:t>
            </w:r>
            <w:hyperlink r:id="rId41" w:history="1">
              <w:r w:rsidR="00277321" w:rsidRPr="00536CBA">
                <w:rPr>
                  <w:rStyle w:val="Hyperlink"/>
                </w:rPr>
                <w:t>https://ens.dk/ansvarsomraader/vand/vandselskabers-klimatilpasning</w:t>
              </w:r>
            </w:hyperlink>
            <w:r w:rsidR="00277321">
              <w:t xml:space="preserve"> </w:t>
            </w:r>
          </w:p>
          <w:p w14:paraId="6F0B4BAA" w14:textId="6BFF5D81" w:rsidR="00BD084F" w:rsidRPr="00FB3EF8" w:rsidRDefault="007B35CB" w:rsidP="00FC236B">
            <w:r>
              <w:t>Dette k</w:t>
            </w:r>
            <w:r w:rsidR="00BD084F">
              <w:t>an afgøre</w:t>
            </w:r>
            <w:r>
              <w:t>,</w:t>
            </w:r>
            <w:r w:rsidR="00BD084F">
              <w:t xml:space="preserve"> hvilket serviceniveau kommunerne kan sætte for klimatilpasningsprojekter i kloakerede områder, hvis de skal finansiering over vandtaksterne.</w:t>
            </w:r>
          </w:p>
        </w:tc>
        <w:tc>
          <w:tcPr>
            <w:tcW w:w="1611" w:type="dxa"/>
          </w:tcPr>
          <w:p w14:paraId="1F62A64E" w14:textId="4F194318" w:rsidR="00FC236B" w:rsidRDefault="00FC236B" w:rsidP="00FC236B"/>
        </w:tc>
      </w:tr>
      <w:tr w:rsidR="00FC236B" w14:paraId="14852205" w14:textId="77777777" w:rsidTr="036616C2">
        <w:tc>
          <w:tcPr>
            <w:tcW w:w="963" w:type="dxa"/>
            <w:vMerge/>
          </w:tcPr>
          <w:p w14:paraId="0CC15755" w14:textId="77777777" w:rsidR="00FC236B" w:rsidRDefault="00FC236B" w:rsidP="00FC236B"/>
        </w:tc>
        <w:tc>
          <w:tcPr>
            <w:tcW w:w="2082" w:type="dxa"/>
          </w:tcPr>
          <w:p w14:paraId="70401372" w14:textId="38803DBB" w:rsidR="00FC236B" w:rsidRPr="00A3016D" w:rsidRDefault="00653C67" w:rsidP="00FC236B">
            <w:hyperlink r:id="rId42" w:history="1">
              <w:r w:rsidR="00FC236B" w:rsidRPr="00164E77">
                <w:rPr>
                  <w:rStyle w:val="Hyperlink"/>
                </w:rPr>
                <w:t>Klimaaftale om energi og industri</w:t>
              </w:r>
            </w:hyperlink>
            <w:r w:rsidR="00FC236B">
              <w:t xml:space="preserve"> (2020)</w:t>
            </w:r>
          </w:p>
        </w:tc>
        <w:tc>
          <w:tcPr>
            <w:tcW w:w="4972" w:type="dxa"/>
          </w:tcPr>
          <w:p w14:paraId="6536E5C3" w14:textId="362DF958" w:rsidR="00FC236B" w:rsidRPr="007B1C2D" w:rsidRDefault="00FC236B" w:rsidP="00FC236B">
            <w:pPr>
              <w:rPr>
                <w:rFonts w:ascii="Times New Roman" w:hAnsi="Times New Roman" w:cs="Times New Roman"/>
              </w:rPr>
            </w:pPr>
            <w:r>
              <w:t xml:space="preserve">Ligger an til etableringen af to energiøer inden 2030. Der afsættes midler til P2X og CO2 fangst. Der afsættes en pulje til </w:t>
            </w:r>
            <w:r w:rsidRPr="00BE633C">
              <w:t>elektrificering og energieffektivisering i industrien.</w:t>
            </w:r>
            <w:r>
              <w:t xml:space="preserve"> Aftalen indeholder desuden en lempelse af afgifterne på grøn strøm til opvarmning, samt forhøjede afgifter på fossil varme samt støtte til udfasning af olie- og gasfyr. </w:t>
            </w:r>
          </w:p>
        </w:tc>
        <w:tc>
          <w:tcPr>
            <w:tcW w:w="1611" w:type="dxa"/>
          </w:tcPr>
          <w:p w14:paraId="061952AB" w14:textId="77777777" w:rsidR="00FC236B" w:rsidRDefault="00FC236B" w:rsidP="00FC236B"/>
        </w:tc>
      </w:tr>
      <w:tr w:rsidR="00FC236B" w14:paraId="426F112B" w14:textId="77777777" w:rsidTr="036616C2">
        <w:tc>
          <w:tcPr>
            <w:tcW w:w="963" w:type="dxa"/>
            <w:vMerge/>
          </w:tcPr>
          <w:p w14:paraId="0445E419" w14:textId="77777777" w:rsidR="00FC236B" w:rsidRDefault="00FC236B" w:rsidP="00FC236B"/>
        </w:tc>
        <w:tc>
          <w:tcPr>
            <w:tcW w:w="2082" w:type="dxa"/>
          </w:tcPr>
          <w:p w14:paraId="084C4B48" w14:textId="56E655F5" w:rsidR="00FC236B" w:rsidRPr="00A3016D" w:rsidRDefault="00653C67" w:rsidP="00FC236B">
            <w:hyperlink r:id="rId43" w:history="1">
              <w:r w:rsidR="00FC236B" w:rsidRPr="006B761F">
                <w:rPr>
                  <w:rStyle w:val="Hyperlink"/>
                </w:rPr>
                <w:t>Grøn omstilling af vejtransporten</w:t>
              </w:r>
            </w:hyperlink>
            <w:r w:rsidR="00FC236B" w:rsidRPr="00A3016D">
              <w:t xml:space="preserve"> (2020)</w:t>
            </w:r>
          </w:p>
        </w:tc>
        <w:tc>
          <w:tcPr>
            <w:tcW w:w="4972" w:type="dxa"/>
          </w:tcPr>
          <w:p w14:paraId="71F0C579" w14:textId="3618B473" w:rsidR="00FC236B" w:rsidRDefault="00FC236B" w:rsidP="00FC236B">
            <w:r>
              <w:t>Mere lempelig indfasning af registreringsafgift på elbiler og plug-in hybridbiler. Øgede afgifter på benzin og diesel. Mål om 1 mio. nul- og lavemissionsbiler i 2030 (30% af bilflåden). I praksis regulering til 8</w:t>
            </w:r>
            <w:r w:rsidR="00AF1509">
              <w:t>20</w:t>
            </w:r>
            <w:r>
              <w:t>.</w:t>
            </w:r>
            <w:r w:rsidR="00AF1509">
              <w:t>4</w:t>
            </w:r>
            <w:r>
              <w:t>00 nul og lavemissionsbiler</w:t>
            </w:r>
            <w:r w:rsidR="00AF1509">
              <w:t>.</w:t>
            </w:r>
            <w:r>
              <w:t xml:space="preserve"> </w:t>
            </w:r>
          </w:p>
        </w:tc>
        <w:tc>
          <w:tcPr>
            <w:tcW w:w="1611" w:type="dxa"/>
          </w:tcPr>
          <w:p w14:paraId="3CD49543" w14:textId="77777777" w:rsidR="00FC236B" w:rsidRDefault="00FC236B" w:rsidP="00FC236B"/>
        </w:tc>
      </w:tr>
      <w:tr w:rsidR="0EEC101B" w14:paraId="20ED951C" w14:textId="77777777" w:rsidTr="616D57DA">
        <w:tc>
          <w:tcPr>
            <w:tcW w:w="963" w:type="dxa"/>
            <w:vMerge/>
            <w:vAlign w:val="center"/>
          </w:tcPr>
          <w:p w14:paraId="51EA8D32" w14:textId="77777777" w:rsidR="00AF69C9" w:rsidRDefault="00AF69C9"/>
        </w:tc>
        <w:tc>
          <w:tcPr>
            <w:tcW w:w="2082" w:type="dxa"/>
          </w:tcPr>
          <w:p w14:paraId="1A700ABF" w14:textId="5A4AAD52" w:rsidR="0EEC101B" w:rsidRDefault="00653C67" w:rsidP="0EEC101B">
            <w:pPr>
              <w:rPr>
                <w:rFonts w:eastAsia="Calibri"/>
              </w:rPr>
            </w:pPr>
            <w:hyperlink r:id="rId44">
              <w:r w:rsidR="0EEC101B" w:rsidRPr="0EEC101B">
                <w:rPr>
                  <w:rStyle w:val="Hyperlink"/>
                  <w:rFonts w:eastAsia="Calibri"/>
                </w:rPr>
                <w:t>Ladestanderbekendtgørelsen</w:t>
              </w:r>
            </w:hyperlink>
            <w:r w:rsidR="0EEC101B" w:rsidRPr="0EEC101B">
              <w:rPr>
                <w:rFonts w:eastAsia="Calibri"/>
              </w:rPr>
              <w:t xml:space="preserve"> (2020)</w:t>
            </w:r>
          </w:p>
        </w:tc>
        <w:tc>
          <w:tcPr>
            <w:tcW w:w="4972" w:type="dxa"/>
          </w:tcPr>
          <w:p w14:paraId="32ABFAE9" w14:textId="7DA2D646" w:rsidR="0EEC101B" w:rsidRDefault="0EEC101B" w:rsidP="0EEC101B">
            <w:pPr>
              <w:rPr>
                <w:rFonts w:eastAsia="Calibri"/>
              </w:rPr>
            </w:pPr>
            <w:r w:rsidRPr="0EEC101B">
              <w:rPr>
                <w:rFonts w:eastAsia="Calibri"/>
              </w:rPr>
              <w:t xml:space="preserve">Ladestanderbekendtgørelsen fastlægger krav til etablering af ladestandere til elbiler ved en række nye og eksisterende bygningstyper. Kommunerne skal opfylde kravene for egne bygninger og sikre at de inkluderes i byggetilladelser for private bygninger. Reglerne fremgår bla af Bolig- og Planstyrelsens </w:t>
            </w:r>
            <w:hyperlink r:id="rId45">
              <w:r w:rsidRPr="0EEC101B">
                <w:rPr>
                  <w:rStyle w:val="Hyperlink"/>
                  <w:rFonts w:eastAsia="Calibri"/>
                </w:rPr>
                <w:t>Vejedning</w:t>
              </w:r>
            </w:hyperlink>
          </w:p>
        </w:tc>
        <w:tc>
          <w:tcPr>
            <w:tcW w:w="1611" w:type="dxa"/>
          </w:tcPr>
          <w:p w14:paraId="75BB2D3B" w14:textId="20335498" w:rsidR="0EEC101B" w:rsidRDefault="0EEC101B" w:rsidP="0EEC101B">
            <w:pPr>
              <w:rPr>
                <w:rFonts w:eastAsia="Calibri"/>
              </w:rPr>
            </w:pPr>
          </w:p>
        </w:tc>
      </w:tr>
      <w:tr w:rsidR="0EEC101B" w14:paraId="3A9EB8A6" w14:textId="77777777" w:rsidTr="616D57DA">
        <w:tc>
          <w:tcPr>
            <w:tcW w:w="963" w:type="dxa"/>
            <w:vMerge/>
            <w:vAlign w:val="center"/>
          </w:tcPr>
          <w:p w14:paraId="5C6FFE81" w14:textId="77777777" w:rsidR="00AF69C9" w:rsidRDefault="00AF69C9"/>
        </w:tc>
        <w:tc>
          <w:tcPr>
            <w:tcW w:w="2082" w:type="dxa"/>
          </w:tcPr>
          <w:p w14:paraId="3661D442" w14:textId="7A939BAD" w:rsidR="0EEC101B" w:rsidRDefault="00653C67" w:rsidP="0EEC101B">
            <w:hyperlink r:id="rId46">
              <w:r w:rsidR="0EEC101B" w:rsidRPr="0EEC101B">
                <w:rPr>
                  <w:rStyle w:val="Hyperlink"/>
                  <w:rFonts w:eastAsiaTheme="minorEastAsia"/>
                </w:rPr>
                <w:t>Minimumsmål for offentlige indkøb af renere køretøjer til vejtransport</w:t>
              </w:r>
            </w:hyperlink>
          </w:p>
          <w:p w14:paraId="6C68F2CF" w14:textId="4DC3C321" w:rsidR="0EEC101B" w:rsidRDefault="0EEC101B" w:rsidP="0EEC101B">
            <w:pPr>
              <w:rPr>
                <w:rFonts w:eastAsia="Calibri"/>
              </w:rPr>
            </w:pPr>
            <w:r w:rsidRPr="0EEC101B">
              <w:rPr>
                <w:rFonts w:eastAsia="Calibri"/>
              </w:rPr>
              <w:t>(2021)</w:t>
            </w:r>
          </w:p>
        </w:tc>
        <w:tc>
          <w:tcPr>
            <w:tcW w:w="4972" w:type="dxa"/>
          </w:tcPr>
          <w:p w14:paraId="2CDA266D" w14:textId="6A0CCE95" w:rsidR="0EEC101B" w:rsidRDefault="3A1C7BD1" w:rsidP="0EEC101B">
            <w:pPr>
              <w:rPr>
                <w:rFonts w:eastAsia="Calibri"/>
              </w:rPr>
            </w:pPr>
            <w:r w:rsidRPr="616D57DA">
              <w:rPr>
                <w:rFonts w:eastAsia="Calibri"/>
              </w:rPr>
              <w:t>Bekendtgørelsen implementerer EU’s Clean Vehicles direktiv om bla CO2-krav til lette og tunge køretøjer som anskaffes eller benyttes af offentlige myndigheder, herunder køb af lette nulemissions køretøjer fra 2026. Ifølge Miljøministeriet vil kravene dog allerede opnås som følge af de indgåede ‘</w:t>
            </w:r>
            <w:hyperlink r:id="rId47">
              <w:r w:rsidRPr="616D57DA">
                <w:rPr>
                  <w:rStyle w:val="Hyperlink"/>
                  <w:rFonts w:eastAsia="Calibri"/>
                </w:rPr>
                <w:t>Klimasamarbejdsaftaler om grøn kollektiv trafi</w:t>
              </w:r>
            </w:hyperlink>
            <w:r w:rsidRPr="616D57DA">
              <w:rPr>
                <w:rFonts w:eastAsia="Calibri"/>
              </w:rPr>
              <w:t>k’ mellem staten og en lang række kommuner fra juni 2020 og frem</w:t>
            </w:r>
          </w:p>
        </w:tc>
        <w:tc>
          <w:tcPr>
            <w:tcW w:w="1611" w:type="dxa"/>
          </w:tcPr>
          <w:p w14:paraId="6886C1D0" w14:textId="4B5D31D5" w:rsidR="0EEC101B" w:rsidRDefault="0EEC101B" w:rsidP="0EEC101B">
            <w:pPr>
              <w:rPr>
                <w:rFonts w:eastAsia="Calibri"/>
              </w:rPr>
            </w:pPr>
          </w:p>
        </w:tc>
      </w:tr>
      <w:tr w:rsidR="0EEC101B" w14:paraId="61A78314" w14:textId="77777777" w:rsidTr="616D57DA">
        <w:tc>
          <w:tcPr>
            <w:tcW w:w="963" w:type="dxa"/>
            <w:vMerge/>
            <w:vAlign w:val="center"/>
          </w:tcPr>
          <w:p w14:paraId="7308B70A" w14:textId="77777777" w:rsidR="00AF69C9" w:rsidRDefault="00AF69C9"/>
        </w:tc>
        <w:tc>
          <w:tcPr>
            <w:tcW w:w="2082" w:type="dxa"/>
          </w:tcPr>
          <w:p w14:paraId="131AE9FD" w14:textId="6176D6CC" w:rsidR="0EEC101B" w:rsidRDefault="00653C67" w:rsidP="0EEC101B">
            <w:pPr>
              <w:rPr>
                <w:rFonts w:eastAsia="Calibri"/>
              </w:rPr>
            </w:pPr>
            <w:hyperlink r:id="rId48">
              <w:r w:rsidR="0EEC101B" w:rsidRPr="0EEC101B">
                <w:rPr>
                  <w:rStyle w:val="Hyperlink"/>
                  <w:rFonts w:eastAsia="Calibri"/>
                </w:rPr>
                <w:t>Udkast til AFI-lov - høringsudgave</w:t>
              </w:r>
            </w:hyperlink>
            <w:r w:rsidR="0EEC101B" w:rsidRPr="0EEC101B">
              <w:rPr>
                <w:rFonts w:eastAsia="Calibri"/>
              </w:rPr>
              <w:t xml:space="preserve"> (2021)</w:t>
            </w:r>
          </w:p>
        </w:tc>
        <w:tc>
          <w:tcPr>
            <w:tcW w:w="4972" w:type="dxa"/>
          </w:tcPr>
          <w:p w14:paraId="0AA8F72A" w14:textId="6C2C2E94" w:rsidR="0EEC101B" w:rsidRDefault="3A1C7BD1" w:rsidP="0EEC101B">
            <w:pPr>
              <w:rPr>
                <w:rFonts w:eastAsia="Calibri"/>
              </w:rPr>
            </w:pPr>
            <w:r w:rsidRPr="616D57DA">
              <w:rPr>
                <w:rFonts w:eastAsia="Calibri"/>
              </w:rPr>
              <w:t>Den 1. april 2022 træder den såkaldte AFI-lov i kraft. Loven og tilhørende bkg. implementerer dele af EU’s AFI-direktiv og fastlægger rammer for kommunernes planlægning og udbud af ladeinfrastruktur. Vejledninger mv er på vej fra bl</w:t>
            </w:r>
            <w:r w:rsidR="002D2572">
              <w:rPr>
                <w:rFonts w:eastAsia="Calibri"/>
              </w:rPr>
              <w:t>.</w:t>
            </w:r>
            <w:r w:rsidRPr="616D57DA">
              <w:rPr>
                <w:rFonts w:eastAsia="Calibri"/>
              </w:rPr>
              <w:t>a. Vejdirektoratet</w:t>
            </w:r>
            <w:r w:rsidR="002D2572">
              <w:rPr>
                <w:rFonts w:eastAsia="Calibri"/>
              </w:rPr>
              <w:t>.</w:t>
            </w:r>
          </w:p>
        </w:tc>
        <w:tc>
          <w:tcPr>
            <w:tcW w:w="1611" w:type="dxa"/>
          </w:tcPr>
          <w:p w14:paraId="4B5EEEB2" w14:textId="2FC8F1BC" w:rsidR="0EEC101B" w:rsidRDefault="0EEC101B" w:rsidP="0EEC101B">
            <w:pPr>
              <w:rPr>
                <w:rFonts w:eastAsia="Calibri"/>
              </w:rPr>
            </w:pPr>
          </w:p>
        </w:tc>
      </w:tr>
      <w:tr w:rsidR="00FC236B" w14:paraId="5F4D56C2" w14:textId="77777777" w:rsidTr="036616C2">
        <w:tc>
          <w:tcPr>
            <w:tcW w:w="963" w:type="dxa"/>
            <w:vMerge/>
          </w:tcPr>
          <w:p w14:paraId="3FBC6A77" w14:textId="77777777" w:rsidR="00FC236B" w:rsidRDefault="00FC236B" w:rsidP="00FC236B"/>
        </w:tc>
        <w:tc>
          <w:tcPr>
            <w:tcW w:w="2082" w:type="dxa"/>
          </w:tcPr>
          <w:p w14:paraId="3A4D1B91" w14:textId="2DBB0823" w:rsidR="00FC236B" w:rsidRDefault="00653C67" w:rsidP="00FC236B">
            <w:hyperlink r:id="rId49" w:history="1">
              <w:r w:rsidR="00FC236B" w:rsidRPr="00DD15FA">
                <w:rPr>
                  <w:rStyle w:val="Hyperlink"/>
                </w:rPr>
                <w:t>Handlingsplan for cirkulær økonomi</w:t>
              </w:r>
            </w:hyperlink>
            <w:r w:rsidR="00FC236B">
              <w:t xml:space="preserve"> (2021)</w:t>
            </w:r>
          </w:p>
        </w:tc>
        <w:tc>
          <w:tcPr>
            <w:tcW w:w="4972" w:type="dxa"/>
          </w:tcPr>
          <w:p w14:paraId="3B275654" w14:textId="7B3400ED" w:rsidR="00FC236B" w:rsidRPr="00475A99" w:rsidRDefault="00FC236B" w:rsidP="00FC236B">
            <w:r>
              <w:t xml:space="preserve">At øge genanvendelsen af affald til 55%, 60% og 65% i hhv. 2025, 2030 og 2035 jf. EU krav. </w:t>
            </w:r>
            <w:r w:rsidRPr="001D360E">
              <w:t>Alle offentlige indk</w:t>
            </w:r>
            <w:r>
              <w:t>ø</w:t>
            </w:r>
            <w:r w:rsidRPr="001D360E">
              <w:t>b skal v</w:t>
            </w:r>
            <w:r>
              <w:t>æ</w:t>
            </w:r>
            <w:r w:rsidRPr="001D360E">
              <w:t>re milj</w:t>
            </w:r>
            <w:r>
              <w:t>ø</w:t>
            </w:r>
            <w:r w:rsidRPr="001D360E">
              <w:t>m</w:t>
            </w:r>
            <w:r>
              <w:t>æ</w:t>
            </w:r>
            <w:r w:rsidRPr="001D360E">
              <w:t>rkede i 2030</w:t>
            </w:r>
            <w:r>
              <w:t xml:space="preserve">. </w:t>
            </w:r>
          </w:p>
        </w:tc>
        <w:tc>
          <w:tcPr>
            <w:tcW w:w="1611" w:type="dxa"/>
          </w:tcPr>
          <w:p w14:paraId="6F27A762" w14:textId="77777777" w:rsidR="00FC236B" w:rsidRDefault="00FC236B" w:rsidP="00FC236B"/>
        </w:tc>
      </w:tr>
      <w:tr w:rsidR="00FC236B" w14:paraId="2370C3F4" w14:textId="77777777" w:rsidTr="036616C2">
        <w:tc>
          <w:tcPr>
            <w:tcW w:w="963" w:type="dxa"/>
            <w:vMerge/>
          </w:tcPr>
          <w:p w14:paraId="54A2A9C3" w14:textId="77777777" w:rsidR="00FC236B" w:rsidRDefault="00FC236B" w:rsidP="00FC236B"/>
        </w:tc>
        <w:tc>
          <w:tcPr>
            <w:tcW w:w="2082" w:type="dxa"/>
          </w:tcPr>
          <w:p w14:paraId="7F578A2F" w14:textId="7C880212" w:rsidR="00FC236B" w:rsidRPr="00A3016D" w:rsidRDefault="00653C67" w:rsidP="00FC236B">
            <w:hyperlink r:id="rId50" w:history="1">
              <w:r w:rsidR="00FC236B" w:rsidRPr="00E34014">
                <w:rPr>
                  <w:rStyle w:val="Hyperlink"/>
                </w:rPr>
                <w:t>Grøn omstilling af dansk landbrug</w:t>
              </w:r>
            </w:hyperlink>
            <w:r w:rsidR="00FC236B" w:rsidRPr="006B761F">
              <w:t xml:space="preserve"> (2021)</w:t>
            </w:r>
          </w:p>
        </w:tc>
        <w:tc>
          <w:tcPr>
            <w:tcW w:w="4972" w:type="dxa"/>
          </w:tcPr>
          <w:p w14:paraId="5C5D1FF0" w14:textId="538BF50D" w:rsidR="00FC236B" w:rsidRPr="00475A99" w:rsidRDefault="00FC236B" w:rsidP="00FC236B">
            <w:r>
              <w:t>Drivhusgasr</w:t>
            </w:r>
            <w:r w:rsidRPr="00495EF7">
              <w:t>eduktion fra landbrugssektoren på 55-65% i 2030 ift. 1990. Størstedelen af reduktionen fra udviklingstiltag. Bl.a. udtag af 22.000 ha lavbundsjorder, hyppigere udslusning af svinegylle, brun bioraffinering</w:t>
            </w:r>
            <w:r>
              <w:t xml:space="preserve"> og investeringer i nye teknologier.</w:t>
            </w:r>
            <w:r w:rsidR="008710C2">
              <w:t xml:space="preserve"> Flere penge til skovrejsning (kan også søges af kommuner). </w:t>
            </w:r>
            <w:r>
              <w:t xml:space="preserve"> </w:t>
            </w:r>
          </w:p>
        </w:tc>
        <w:tc>
          <w:tcPr>
            <w:tcW w:w="1611" w:type="dxa"/>
          </w:tcPr>
          <w:p w14:paraId="7B9F258E" w14:textId="77777777" w:rsidR="00FC236B" w:rsidRDefault="00FC236B" w:rsidP="00FC236B"/>
        </w:tc>
      </w:tr>
      <w:tr w:rsidR="00FC236B" w14:paraId="753FC878" w14:textId="77777777" w:rsidTr="036616C2">
        <w:tc>
          <w:tcPr>
            <w:tcW w:w="963" w:type="dxa"/>
            <w:vMerge/>
          </w:tcPr>
          <w:p w14:paraId="0DC37037" w14:textId="77777777" w:rsidR="00FC236B" w:rsidRDefault="00FC236B" w:rsidP="00FC236B"/>
        </w:tc>
        <w:tc>
          <w:tcPr>
            <w:tcW w:w="2082" w:type="dxa"/>
          </w:tcPr>
          <w:p w14:paraId="1DB4A67B" w14:textId="6DAFBEE1" w:rsidR="00FC236B" w:rsidRDefault="00653C67" w:rsidP="00FC236B">
            <w:hyperlink r:id="rId51" w:history="1">
              <w:r w:rsidR="00FC236B" w:rsidRPr="005C5D30">
                <w:rPr>
                  <w:rStyle w:val="Hyperlink"/>
                </w:rPr>
                <w:t>Strategi for CO2 fangst og lagring</w:t>
              </w:r>
            </w:hyperlink>
            <w:r w:rsidR="00FC236B">
              <w:t xml:space="preserve"> (2021)</w:t>
            </w:r>
          </w:p>
        </w:tc>
        <w:tc>
          <w:tcPr>
            <w:tcW w:w="4972" w:type="dxa"/>
          </w:tcPr>
          <w:p w14:paraId="36636E83" w14:textId="13E086D6" w:rsidR="00FC236B" w:rsidRDefault="00FC236B" w:rsidP="00FC236B">
            <w:r w:rsidRPr="00785EBF">
              <w:t>Tilskudspulje på 16 mia. kr. åbner for ansøgninger i 2022. GEUS undersøgelse af potentielle lagerfaciliteter i Danmark. Etablere samarbejder om fangst, transport og anvendelse i København, Aarhus, Odense, Aalborg, Esbjerg og Fredericia og eventuelt andre større danske byer.</w:t>
            </w:r>
          </w:p>
        </w:tc>
        <w:tc>
          <w:tcPr>
            <w:tcW w:w="1611" w:type="dxa"/>
          </w:tcPr>
          <w:p w14:paraId="1F93696A" w14:textId="77777777" w:rsidR="00FC236B" w:rsidRDefault="00FC236B" w:rsidP="00FC236B"/>
        </w:tc>
      </w:tr>
      <w:tr w:rsidR="00C07113" w14:paraId="67EECEB9" w14:textId="77777777" w:rsidTr="036616C2">
        <w:tc>
          <w:tcPr>
            <w:tcW w:w="963" w:type="dxa"/>
            <w:vMerge/>
          </w:tcPr>
          <w:p w14:paraId="5655235B" w14:textId="77777777" w:rsidR="00C07113" w:rsidRDefault="00C07113" w:rsidP="00FC236B"/>
        </w:tc>
        <w:tc>
          <w:tcPr>
            <w:tcW w:w="2082" w:type="dxa"/>
          </w:tcPr>
          <w:p w14:paraId="1B3A3F97" w14:textId="65443ECC" w:rsidR="00C07113" w:rsidRDefault="00653C67" w:rsidP="00FC236B">
            <w:hyperlink r:id="rId52" w:history="1">
              <w:r w:rsidR="00C07113" w:rsidRPr="008D6D09">
                <w:rPr>
                  <w:rStyle w:val="Hyperlink"/>
                </w:rPr>
                <w:t>Den danske CAP plan</w:t>
              </w:r>
            </w:hyperlink>
            <w:r w:rsidR="00C07113">
              <w:t xml:space="preserve"> (endnu ikke godkendt af EU, men forventes </w:t>
            </w:r>
            <w:r w:rsidR="00446983">
              <w:t>godkendt og implementeret fra 2023)</w:t>
            </w:r>
          </w:p>
        </w:tc>
        <w:tc>
          <w:tcPr>
            <w:tcW w:w="4972" w:type="dxa"/>
          </w:tcPr>
          <w:p w14:paraId="24A63C0E" w14:textId="2B77B344" w:rsidR="00C07113" w:rsidRPr="00C418F3" w:rsidRDefault="00B64C5B" w:rsidP="00B64C5B">
            <w:r>
              <w:t>Flere puljer som kan søges af kommunen. Bl.a. k</w:t>
            </w:r>
            <w:r w:rsidR="00C07113">
              <w:t>ompensation til ejere af landbrugsarealer, der frivilligt har inkluderet deres</w:t>
            </w:r>
            <w:r w:rsidR="008710C2">
              <w:t xml:space="preserve"> </w:t>
            </w:r>
            <w:r w:rsidR="00C07113">
              <w:t xml:space="preserve">jord i et </w:t>
            </w:r>
            <w:r>
              <w:t xml:space="preserve">grønt projekt </w:t>
            </w:r>
            <w:r w:rsidR="00C07113">
              <w:t>der etableres af den lokale kommune eller Naturstyrelsen.</w:t>
            </w:r>
            <w:r w:rsidR="00DF5367">
              <w:t xml:space="preserve"> </w:t>
            </w:r>
            <w:r>
              <w:t>Desuden s</w:t>
            </w:r>
            <w:r w:rsidR="00DF5367">
              <w:t xml:space="preserve">tøtte til natura 2000 skov. </w:t>
            </w:r>
          </w:p>
        </w:tc>
        <w:tc>
          <w:tcPr>
            <w:tcW w:w="1611" w:type="dxa"/>
          </w:tcPr>
          <w:p w14:paraId="185AA168" w14:textId="77777777" w:rsidR="00C07113" w:rsidRDefault="00C07113" w:rsidP="00FC236B"/>
        </w:tc>
      </w:tr>
      <w:tr w:rsidR="00FC236B" w14:paraId="069123D0" w14:textId="77777777" w:rsidTr="036616C2">
        <w:tc>
          <w:tcPr>
            <w:tcW w:w="963" w:type="dxa"/>
            <w:vMerge/>
          </w:tcPr>
          <w:p w14:paraId="3D6CDDE2" w14:textId="77777777" w:rsidR="00FC236B" w:rsidRDefault="00FC236B" w:rsidP="00FC236B"/>
        </w:tc>
        <w:tc>
          <w:tcPr>
            <w:tcW w:w="2082" w:type="dxa"/>
          </w:tcPr>
          <w:p w14:paraId="1488F375" w14:textId="29CB8E26" w:rsidR="00FC236B" w:rsidRPr="00C418F3" w:rsidRDefault="00653C67" w:rsidP="00FC236B">
            <w:hyperlink r:id="rId53" w:history="1">
              <w:r w:rsidR="00FC236B" w:rsidRPr="00C418F3">
                <w:rPr>
                  <w:rStyle w:val="Hyperlink"/>
                </w:rPr>
                <w:t>Vandområdeplaner</w:t>
              </w:r>
            </w:hyperlink>
            <w:r w:rsidR="00FC236B" w:rsidRPr="00C418F3">
              <w:t xml:space="preserve"> (i offentlig høring til juni 2022)</w:t>
            </w:r>
          </w:p>
        </w:tc>
        <w:tc>
          <w:tcPr>
            <w:tcW w:w="4972" w:type="dxa"/>
          </w:tcPr>
          <w:p w14:paraId="64F08680" w14:textId="77777777" w:rsidR="00FC236B" w:rsidRPr="00C418F3" w:rsidRDefault="00FC236B" w:rsidP="00FC236B">
            <w:r w:rsidRPr="00C418F3">
              <w:t>At sikre renere vand og bedre forhold i vandløb, søer, den kystnære del af havet (kystvande) og grundvand. I overensstemmelse med EU's vandrammedirektiv.</w:t>
            </w:r>
          </w:p>
        </w:tc>
        <w:tc>
          <w:tcPr>
            <w:tcW w:w="1611" w:type="dxa"/>
          </w:tcPr>
          <w:p w14:paraId="7A64C2C6" w14:textId="77777777" w:rsidR="00FC236B" w:rsidRDefault="00FC236B" w:rsidP="00FC236B"/>
        </w:tc>
      </w:tr>
    </w:tbl>
    <w:p w14:paraId="0C668ADC" w14:textId="6463D566" w:rsidR="0EEC101B" w:rsidRDefault="0EEC101B"/>
    <w:p w14:paraId="5B1723A8" w14:textId="6DBADFE3" w:rsidR="0EEC101B" w:rsidRDefault="0EEC101B"/>
    <w:p w14:paraId="68624C69" w14:textId="77777777" w:rsidR="007E347E" w:rsidRDefault="007E347E"/>
    <w:p w14:paraId="5FB1CE23" w14:textId="5D75115F" w:rsidR="00FB108A" w:rsidRDefault="00FB108A" w:rsidP="00FB108A">
      <w:pPr>
        <w:pStyle w:val="Overskrift1"/>
      </w:pPr>
      <w:r>
        <w:t>Regionale forpligtigelser og rammevilkår</w:t>
      </w:r>
    </w:p>
    <w:tbl>
      <w:tblPr>
        <w:tblStyle w:val="Tabel-Gitter"/>
        <w:tblW w:w="0" w:type="auto"/>
        <w:tblLook w:val="04A0" w:firstRow="1" w:lastRow="0" w:firstColumn="1" w:lastColumn="0" w:noHBand="0" w:noVBand="1"/>
      </w:tblPr>
      <w:tblGrid>
        <w:gridCol w:w="1271"/>
        <w:gridCol w:w="1824"/>
        <w:gridCol w:w="4980"/>
        <w:gridCol w:w="1553"/>
      </w:tblGrid>
      <w:tr w:rsidR="00921CB9" w:rsidRPr="006B2CE6" w14:paraId="6D9F718A" w14:textId="77777777" w:rsidTr="00921CB9">
        <w:trPr>
          <w:trHeight w:val="567"/>
        </w:trPr>
        <w:tc>
          <w:tcPr>
            <w:tcW w:w="1271" w:type="dxa"/>
            <w:shd w:val="clear" w:color="auto" w:fill="ACC5B5"/>
          </w:tcPr>
          <w:p w14:paraId="6E853E1C" w14:textId="77777777" w:rsidR="00921CB9" w:rsidRPr="00FB108A" w:rsidRDefault="00921CB9" w:rsidP="00921CB9">
            <w:pPr>
              <w:rPr>
                <w:b/>
                <w:bCs/>
                <w:color w:val="1B2956"/>
              </w:rPr>
            </w:pPr>
          </w:p>
        </w:tc>
        <w:tc>
          <w:tcPr>
            <w:tcW w:w="1824" w:type="dxa"/>
            <w:shd w:val="clear" w:color="auto" w:fill="ACC5B5"/>
            <w:vAlign w:val="center"/>
          </w:tcPr>
          <w:p w14:paraId="08ACA772" w14:textId="77777777" w:rsidR="00921CB9" w:rsidRPr="00FB108A" w:rsidRDefault="00921CB9" w:rsidP="00921CB9">
            <w:pPr>
              <w:jc w:val="center"/>
              <w:rPr>
                <w:b/>
                <w:bCs/>
                <w:color w:val="1B2956"/>
              </w:rPr>
            </w:pPr>
            <w:r w:rsidRPr="00FB108A">
              <w:rPr>
                <w:b/>
                <w:bCs/>
                <w:color w:val="1B2956"/>
              </w:rPr>
              <w:t>Aftale</w:t>
            </w:r>
          </w:p>
        </w:tc>
        <w:tc>
          <w:tcPr>
            <w:tcW w:w="4980" w:type="dxa"/>
            <w:shd w:val="clear" w:color="auto" w:fill="ACC5B5"/>
            <w:vAlign w:val="center"/>
          </w:tcPr>
          <w:p w14:paraId="62A069D9" w14:textId="77777777" w:rsidR="00921CB9" w:rsidRPr="00FB108A" w:rsidRDefault="00921CB9" w:rsidP="00921CB9">
            <w:pPr>
              <w:jc w:val="center"/>
              <w:rPr>
                <w:b/>
                <w:bCs/>
                <w:color w:val="1B2956"/>
              </w:rPr>
            </w:pPr>
            <w:r w:rsidRPr="00FB108A">
              <w:rPr>
                <w:b/>
                <w:bCs/>
                <w:color w:val="1B2956"/>
              </w:rPr>
              <w:t>Forpligtelser og mål</w:t>
            </w:r>
          </w:p>
        </w:tc>
        <w:tc>
          <w:tcPr>
            <w:tcW w:w="1553" w:type="dxa"/>
            <w:shd w:val="clear" w:color="auto" w:fill="ACC5B5"/>
            <w:vAlign w:val="center"/>
          </w:tcPr>
          <w:p w14:paraId="3F0994D4" w14:textId="32D7B7E9" w:rsidR="00921CB9" w:rsidRPr="00FB108A" w:rsidRDefault="00921CB9" w:rsidP="00921CB9">
            <w:pPr>
              <w:jc w:val="center"/>
              <w:rPr>
                <w:b/>
                <w:bCs/>
                <w:color w:val="1B2956"/>
              </w:rPr>
            </w:pPr>
            <w:r w:rsidRPr="00FB108A">
              <w:rPr>
                <w:b/>
                <w:bCs/>
                <w:color w:val="1B2956"/>
              </w:rPr>
              <w:t>Betydning på lokalt niveau</w:t>
            </w:r>
          </w:p>
        </w:tc>
      </w:tr>
      <w:tr w:rsidR="00921CB9" w:rsidRPr="005A0E48" w14:paraId="5DB2F677" w14:textId="77777777" w:rsidTr="00921CB9">
        <w:tc>
          <w:tcPr>
            <w:tcW w:w="1271" w:type="dxa"/>
            <w:shd w:val="clear" w:color="auto" w:fill="ACC5B5"/>
            <w:vAlign w:val="center"/>
          </w:tcPr>
          <w:p w14:paraId="287F4423" w14:textId="77777777" w:rsidR="00921CB9" w:rsidRPr="00FB108A" w:rsidRDefault="00921CB9" w:rsidP="00921CB9">
            <w:pPr>
              <w:rPr>
                <w:b/>
                <w:bCs/>
                <w:color w:val="1B2956"/>
              </w:rPr>
            </w:pPr>
          </w:p>
        </w:tc>
        <w:tc>
          <w:tcPr>
            <w:tcW w:w="1824" w:type="dxa"/>
          </w:tcPr>
          <w:p w14:paraId="3565B960" w14:textId="7E5BC9BD" w:rsidR="00921CB9" w:rsidRPr="00BD2378" w:rsidRDefault="00653C67" w:rsidP="00921CB9">
            <w:hyperlink r:id="rId54" w:history="1">
              <w:r w:rsidR="00BD2378" w:rsidRPr="00BD2378">
                <w:rPr>
                  <w:rStyle w:val="Hyperlink"/>
                </w:rPr>
                <w:t>Grøn Energi Nordjylland 2040</w:t>
              </w:r>
            </w:hyperlink>
          </w:p>
        </w:tc>
        <w:tc>
          <w:tcPr>
            <w:tcW w:w="4980" w:type="dxa"/>
          </w:tcPr>
          <w:p w14:paraId="1A85565E" w14:textId="659DAFFC" w:rsidR="00921CB9" w:rsidRPr="00BD2378" w:rsidRDefault="00BD2378" w:rsidP="00921CB9">
            <w:r w:rsidRPr="00BD2378">
              <w:rPr>
                <w:color w:val="000000"/>
                <w:spacing w:val="5"/>
                <w:shd w:val="clear" w:color="auto" w:fill="FFFFFF"/>
              </w:rPr>
              <w:t>Alle 11 kommuner og regionen står bag initiativet Grøn Energi Nordjylland 2040, hvis mål er at Nordylland skal være Danmarks grønne energi-region og være selvforsynende med vedvarende energi i 2040.</w:t>
            </w:r>
          </w:p>
        </w:tc>
        <w:tc>
          <w:tcPr>
            <w:tcW w:w="1553" w:type="dxa"/>
          </w:tcPr>
          <w:p w14:paraId="084F1A5C" w14:textId="77777777" w:rsidR="00921CB9" w:rsidRPr="005A0E48" w:rsidRDefault="00921CB9" w:rsidP="00921CB9"/>
        </w:tc>
      </w:tr>
      <w:tr w:rsidR="00921CB9" w:rsidRPr="005A0E48" w14:paraId="74129C12" w14:textId="77777777" w:rsidTr="00921CB9">
        <w:tc>
          <w:tcPr>
            <w:tcW w:w="1271" w:type="dxa"/>
            <w:vMerge w:val="restart"/>
            <w:shd w:val="clear" w:color="auto" w:fill="ACC5B5"/>
            <w:vAlign w:val="center"/>
          </w:tcPr>
          <w:p w14:paraId="09179C09" w14:textId="070498ED" w:rsidR="00921CB9" w:rsidRDefault="00921CB9" w:rsidP="00921CB9">
            <w:pPr>
              <w:rPr>
                <w:b/>
                <w:bCs/>
              </w:rPr>
            </w:pPr>
            <w:r w:rsidRPr="00FB108A">
              <w:rPr>
                <w:b/>
                <w:bCs/>
                <w:color w:val="1B2956"/>
              </w:rPr>
              <w:t>Regionalt</w:t>
            </w:r>
          </w:p>
        </w:tc>
        <w:tc>
          <w:tcPr>
            <w:tcW w:w="1824" w:type="dxa"/>
          </w:tcPr>
          <w:p w14:paraId="69C9C4F5" w14:textId="7A4C5829" w:rsidR="00921CB9" w:rsidRPr="00BD2378" w:rsidRDefault="00653C67" w:rsidP="00921CB9">
            <w:pPr>
              <w:rPr>
                <w:color w:val="BFBFBF" w:themeColor="background1" w:themeShade="BF"/>
              </w:rPr>
            </w:pPr>
            <w:hyperlink r:id="rId55" w:history="1">
              <w:r w:rsidR="00BD2378" w:rsidRPr="00BD2378">
                <w:rPr>
                  <w:rStyle w:val="Hyperlink"/>
                </w:rPr>
                <w:t>Masterplan for bæredygtig mobilitet i Nordjylland</w:t>
              </w:r>
            </w:hyperlink>
          </w:p>
        </w:tc>
        <w:tc>
          <w:tcPr>
            <w:tcW w:w="4980" w:type="dxa"/>
          </w:tcPr>
          <w:p w14:paraId="3F221CC7" w14:textId="025CEB95" w:rsidR="00921CB9" w:rsidRPr="00BD2378" w:rsidRDefault="00BD2378" w:rsidP="00921CB9">
            <w:pPr>
              <w:rPr>
                <w:i/>
                <w:iCs/>
                <w:color w:val="BFBFBF" w:themeColor="background1" w:themeShade="BF"/>
              </w:rPr>
            </w:pPr>
            <w:r w:rsidRPr="00BD2378">
              <w:rPr>
                <w:color w:val="000000"/>
                <w:spacing w:val="5"/>
                <w:shd w:val="clear" w:color="auto" w:fill="FFFFFF"/>
              </w:rPr>
              <w:t>Kontaktudvalget i Nordjylland godkendte den 6. marts 2020 det forslag til ”Masterplan for Nordjylland – fælles om bæredygtig mobilitet”, som en administrativ mobilitetsgruppe havde fremsat. Masterplanen omfatter både en strategi- og en handlingsdel</w:t>
            </w:r>
          </w:p>
        </w:tc>
        <w:tc>
          <w:tcPr>
            <w:tcW w:w="1553" w:type="dxa"/>
          </w:tcPr>
          <w:p w14:paraId="1AB6DB95" w14:textId="77777777" w:rsidR="00921CB9" w:rsidRPr="005A0E48" w:rsidRDefault="00921CB9" w:rsidP="00921CB9"/>
        </w:tc>
      </w:tr>
      <w:tr w:rsidR="00921CB9" w14:paraId="2E8FDB94" w14:textId="77777777" w:rsidTr="00921CB9">
        <w:tc>
          <w:tcPr>
            <w:tcW w:w="1271" w:type="dxa"/>
            <w:vMerge/>
            <w:shd w:val="clear" w:color="auto" w:fill="ACC5B5"/>
            <w:vAlign w:val="center"/>
          </w:tcPr>
          <w:p w14:paraId="08FA608B" w14:textId="77777777" w:rsidR="00921CB9" w:rsidRDefault="00921CB9" w:rsidP="00921CB9"/>
        </w:tc>
        <w:tc>
          <w:tcPr>
            <w:tcW w:w="1824" w:type="dxa"/>
          </w:tcPr>
          <w:p w14:paraId="08566DAC" w14:textId="19076B4D" w:rsidR="00921CB9" w:rsidRPr="00BD2378" w:rsidRDefault="00653C67" w:rsidP="00921CB9">
            <w:pPr>
              <w:rPr>
                <w:rFonts w:eastAsia="Calibri"/>
              </w:rPr>
            </w:pPr>
            <w:hyperlink r:id="rId56" w:history="1">
              <w:r w:rsidR="00BD2378" w:rsidRPr="00BD2378">
                <w:rPr>
                  <w:rStyle w:val="Hyperlink"/>
                  <w:rFonts w:eastAsia="Calibri"/>
                </w:rPr>
                <w:t>Grøn strategi for NT</w:t>
              </w:r>
            </w:hyperlink>
          </w:p>
          <w:p w14:paraId="76BA034C" w14:textId="77777777" w:rsidR="00921CB9" w:rsidRPr="008116A1" w:rsidRDefault="00921CB9" w:rsidP="00921CB9">
            <w:pPr>
              <w:rPr>
                <w:i/>
                <w:iCs/>
                <w:color w:val="BFBFBF" w:themeColor="background1" w:themeShade="BF"/>
              </w:rPr>
            </w:pPr>
          </w:p>
        </w:tc>
        <w:tc>
          <w:tcPr>
            <w:tcW w:w="4980" w:type="dxa"/>
          </w:tcPr>
          <w:p w14:paraId="7E172FE5" w14:textId="5A9F8578" w:rsidR="00921CB9" w:rsidRPr="008116A1" w:rsidRDefault="00921CB9" w:rsidP="00921CB9">
            <w:pPr>
              <w:spacing w:line="257" w:lineRule="auto"/>
              <w:rPr>
                <w:i/>
                <w:iCs/>
                <w:color w:val="BFBFBF" w:themeColor="background1" w:themeShade="BF"/>
              </w:rPr>
            </w:pPr>
          </w:p>
        </w:tc>
        <w:tc>
          <w:tcPr>
            <w:tcW w:w="1553" w:type="dxa"/>
          </w:tcPr>
          <w:p w14:paraId="5A95594E" w14:textId="77777777" w:rsidR="00921CB9" w:rsidRDefault="00921CB9" w:rsidP="00921CB9"/>
        </w:tc>
      </w:tr>
      <w:tr w:rsidR="00921CB9" w14:paraId="5698FA58" w14:textId="77777777" w:rsidTr="00921CB9">
        <w:tc>
          <w:tcPr>
            <w:tcW w:w="1271" w:type="dxa"/>
            <w:vMerge/>
            <w:shd w:val="clear" w:color="auto" w:fill="ACC5B5"/>
          </w:tcPr>
          <w:p w14:paraId="4A31B288" w14:textId="77777777" w:rsidR="00921CB9" w:rsidRPr="005A0E48" w:rsidRDefault="00921CB9" w:rsidP="00921CB9"/>
        </w:tc>
        <w:tc>
          <w:tcPr>
            <w:tcW w:w="1824" w:type="dxa"/>
          </w:tcPr>
          <w:p w14:paraId="6F9AD535" w14:textId="5AAEB17D" w:rsidR="00921CB9" w:rsidRPr="00ED53BE" w:rsidRDefault="00D75D3D" w:rsidP="00921CB9">
            <w:r>
              <w:t>CCUS Nordj</w:t>
            </w:r>
            <w:r w:rsidR="00542D1E">
              <w:t>ylland</w:t>
            </w:r>
          </w:p>
        </w:tc>
        <w:tc>
          <w:tcPr>
            <w:tcW w:w="4980" w:type="dxa"/>
          </w:tcPr>
          <w:p w14:paraId="45952076" w14:textId="77777777" w:rsidR="00921CB9" w:rsidRDefault="00542D1E" w:rsidP="00921CB9">
            <w:pPr>
              <w:rPr>
                <w:rStyle w:val="Strk"/>
                <w:b w:val="0"/>
                <w:bCs w:val="0"/>
              </w:rPr>
            </w:pPr>
            <w:r w:rsidRPr="00542D1E">
              <w:rPr>
                <w:rStyle w:val="Strk"/>
                <w:b w:val="0"/>
                <w:bCs w:val="0"/>
              </w:rPr>
              <w:t>Private virksomheder og offentlige aktører går sammen i ambitiøst konsortium om Nordjyllands nye erhvervsfyrtårn. Målet er at skabe et helt nyt erhvervsområde på fangst, lagring og anvendelse af CO2. Danmarks Erhvervsfremmebestyrelse støtter udviklingen af det nordjyske erhvervsfyrtårn med 92,4 mio. kr. fra REACT-EU.</w:t>
            </w:r>
          </w:p>
          <w:p w14:paraId="34F1C72B" w14:textId="359A1FF5" w:rsidR="00542D1E" w:rsidRPr="00542D1E" w:rsidRDefault="00542D1E" w:rsidP="00921CB9">
            <w:r>
              <w:t>En officiel hjemmeside herom forventes lanceret den 1. april.</w:t>
            </w:r>
          </w:p>
        </w:tc>
        <w:tc>
          <w:tcPr>
            <w:tcW w:w="1553" w:type="dxa"/>
          </w:tcPr>
          <w:p w14:paraId="3A72865A" w14:textId="77777777" w:rsidR="00921CB9" w:rsidRDefault="00921CB9" w:rsidP="00921CB9"/>
        </w:tc>
      </w:tr>
      <w:tr w:rsidR="00D75D3D" w14:paraId="7A130ABB" w14:textId="77777777" w:rsidTr="00921CB9">
        <w:tc>
          <w:tcPr>
            <w:tcW w:w="1271" w:type="dxa"/>
            <w:vMerge/>
            <w:shd w:val="clear" w:color="auto" w:fill="ACC5B5"/>
          </w:tcPr>
          <w:p w14:paraId="45C8DF08" w14:textId="77777777" w:rsidR="00D75D3D" w:rsidRDefault="00D75D3D" w:rsidP="00D75D3D"/>
        </w:tc>
        <w:tc>
          <w:tcPr>
            <w:tcW w:w="1824" w:type="dxa"/>
          </w:tcPr>
          <w:p w14:paraId="4621004F" w14:textId="2CC3F2CE" w:rsidR="00D75D3D" w:rsidRPr="008116A1" w:rsidRDefault="00653C67" w:rsidP="00D75D3D">
            <w:pPr>
              <w:rPr>
                <w:i/>
                <w:iCs/>
              </w:rPr>
            </w:pPr>
            <w:hyperlink r:id="rId57" w:history="1">
              <w:r w:rsidR="00D75D3D" w:rsidRPr="00ED53BE">
                <w:rPr>
                  <w:rStyle w:val="Hyperlink"/>
                </w:rPr>
                <w:t>Den Fælles Nordjyske Klimaambition</w:t>
              </w:r>
            </w:hyperlink>
          </w:p>
        </w:tc>
        <w:tc>
          <w:tcPr>
            <w:tcW w:w="4980" w:type="dxa"/>
          </w:tcPr>
          <w:p w14:paraId="244B1AD6" w14:textId="74468C6B" w:rsidR="00D75D3D" w:rsidRDefault="00D75D3D" w:rsidP="00542D1E">
            <w:r w:rsidRPr="00D75D3D">
              <w:t xml:space="preserve">KKR Nord, Region Nordjylland og BRN har i fællesskab udgivet Den Fælles Nordjyske klimaambition, der fastsætter en række strategiske fokusområder for den nordjyske klimaindsats. I den tilhørende </w:t>
            </w:r>
            <w:hyperlink r:id="rId58" w:history="1">
              <w:r w:rsidRPr="00D75D3D">
                <w:rPr>
                  <w:rStyle w:val="Hyperlink"/>
                </w:rPr>
                <w:t>videnspakke</w:t>
              </w:r>
            </w:hyperlink>
            <w:r w:rsidRPr="00D75D3D">
              <w:t xml:space="preserve"> listes også en række internationale, nationale og regionale initiativer ’Aftaler &amp; strategier’, ’Organisationer &amp; netværk’ samt indsatser på klimaområdet.</w:t>
            </w:r>
          </w:p>
        </w:tc>
        <w:tc>
          <w:tcPr>
            <w:tcW w:w="1553" w:type="dxa"/>
          </w:tcPr>
          <w:p w14:paraId="70514D65" w14:textId="77777777" w:rsidR="00D75D3D" w:rsidRDefault="00D75D3D" w:rsidP="00D75D3D"/>
        </w:tc>
      </w:tr>
    </w:tbl>
    <w:p w14:paraId="1491C07C" w14:textId="77777777" w:rsidR="009F272A" w:rsidRDefault="009F272A" w:rsidP="009F272A"/>
    <w:p w14:paraId="025F5EBD" w14:textId="77777777" w:rsidR="009F0DF9" w:rsidRDefault="009F0DF9" w:rsidP="009F272A"/>
    <w:p w14:paraId="7E33283C" w14:textId="3356EBD1" w:rsidR="009F0DF9" w:rsidRPr="00C74020" w:rsidRDefault="004A7DE7" w:rsidP="005817A1">
      <w:pPr>
        <w:pStyle w:val="Overskrift1"/>
      </w:pPr>
      <w:r w:rsidRPr="00C74020">
        <w:t>Opsamling</w:t>
      </w:r>
    </w:p>
    <w:p w14:paraId="77D1B447" w14:textId="471F3DA0" w:rsidR="004A7DE7" w:rsidRPr="000C2F55" w:rsidRDefault="00305E25" w:rsidP="009F272A">
      <w:r w:rsidRPr="000C2F55">
        <w:t xml:space="preserve">I figuren nedenfor </w:t>
      </w:r>
      <w:r w:rsidR="000C2F55" w:rsidRPr="000C2F55">
        <w:t>er de centr</w:t>
      </w:r>
      <w:r w:rsidR="000C2F55">
        <w:t xml:space="preserve">ale rammebetingelser illustreret samlet fordelt på sektor, </w:t>
      </w:r>
      <w:r w:rsidR="008076A3">
        <w:t xml:space="preserve">forvaltningsniveau og hvorvidt reguleringen har betydning for drivhusgasreduktion, tilpasning eller begge. </w:t>
      </w:r>
    </w:p>
    <w:p w14:paraId="5C317E26" w14:textId="7CBE5DA8" w:rsidR="005E1F23" w:rsidRDefault="0020152D" w:rsidP="00F32C6E">
      <w:r>
        <w:rPr>
          <w:noProof/>
          <w:lang w:eastAsia="da-DK"/>
        </w:rPr>
        <w:drawing>
          <wp:inline distT="0" distB="0" distL="0" distR="0" wp14:anchorId="6BFE114A" wp14:editId="3EB4F53B">
            <wp:extent cx="6429853" cy="3331675"/>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pic:cNvPicPr/>
                  </pic:nvPicPr>
                  <pic:blipFill>
                    <a:blip r:embed="rId59">
                      <a:extLst>
                        <a:ext uri="{28A0092B-C50C-407E-A947-70E740481C1C}">
                          <a14:useLocalDpi xmlns:a14="http://schemas.microsoft.com/office/drawing/2010/main" val="0"/>
                        </a:ext>
                      </a:extLst>
                    </a:blip>
                    <a:stretch>
                      <a:fillRect/>
                    </a:stretch>
                  </pic:blipFill>
                  <pic:spPr>
                    <a:xfrm>
                      <a:off x="0" y="0"/>
                      <a:ext cx="6436226" cy="3334977"/>
                    </a:xfrm>
                    <a:prstGeom prst="rect">
                      <a:avLst/>
                    </a:prstGeom>
                  </pic:spPr>
                </pic:pic>
              </a:graphicData>
            </a:graphic>
          </wp:inline>
        </w:drawing>
      </w:r>
    </w:p>
    <w:sectPr w:rsidR="005E1F23">
      <w:headerReference w:type="default" r:id="rId60"/>
      <w:footerReference w:type="default" r:id="rId6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B599D" w14:textId="77777777" w:rsidR="00D07BAF" w:rsidRDefault="00D07BAF" w:rsidP="00F32C6E">
      <w:r>
        <w:separator/>
      </w:r>
    </w:p>
    <w:p w14:paraId="4B098CE3" w14:textId="77777777" w:rsidR="00D07BAF" w:rsidRDefault="00D07BAF" w:rsidP="00F32C6E"/>
    <w:p w14:paraId="486ECACA" w14:textId="77777777" w:rsidR="00D07BAF" w:rsidRDefault="00D07BAF" w:rsidP="00F32C6E"/>
  </w:endnote>
  <w:endnote w:type="continuationSeparator" w:id="0">
    <w:p w14:paraId="3F056A10" w14:textId="77777777" w:rsidR="00D07BAF" w:rsidRDefault="00D07BAF" w:rsidP="00F32C6E">
      <w:r>
        <w:continuationSeparator/>
      </w:r>
    </w:p>
    <w:p w14:paraId="4DC2BBBB" w14:textId="77777777" w:rsidR="00D07BAF" w:rsidRDefault="00D07BAF" w:rsidP="00F32C6E"/>
    <w:p w14:paraId="42A8DF8F" w14:textId="77777777" w:rsidR="00D07BAF" w:rsidRDefault="00D07BAF" w:rsidP="00F32C6E"/>
  </w:endnote>
  <w:endnote w:type="continuationNotice" w:id="1">
    <w:p w14:paraId="6E5DBBD7" w14:textId="77777777" w:rsidR="00D07BAF" w:rsidRDefault="00D07BAF" w:rsidP="00F32C6E"/>
    <w:p w14:paraId="1CFC22E4" w14:textId="77777777" w:rsidR="00D07BAF" w:rsidRDefault="00D07BAF" w:rsidP="00F32C6E"/>
    <w:p w14:paraId="0FD33B01" w14:textId="77777777" w:rsidR="00D07BAF" w:rsidRDefault="00D07BAF" w:rsidP="00F3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312669"/>
      <w:docPartObj>
        <w:docPartGallery w:val="Page Numbers (Bottom of Page)"/>
        <w:docPartUnique/>
      </w:docPartObj>
    </w:sdtPr>
    <w:sdtEndPr/>
    <w:sdtContent>
      <w:p w14:paraId="42C0B00D" w14:textId="5D15BA59" w:rsidR="003E5337" w:rsidRDefault="00667A3D" w:rsidP="00F32C6E">
        <w:pPr>
          <w:pStyle w:val="Sidefod"/>
          <w:jc w:val="center"/>
        </w:pPr>
        <w:r w:rsidRPr="00667A3D">
          <w:fldChar w:fldCharType="begin"/>
        </w:r>
        <w:r w:rsidRPr="00667A3D">
          <w:instrText>PAGE   \* MERGEFORMAT</w:instrText>
        </w:r>
        <w:r w:rsidRPr="00667A3D">
          <w:fldChar w:fldCharType="separate"/>
        </w:r>
        <w:r w:rsidR="00653C67">
          <w:rPr>
            <w:noProof/>
          </w:rPr>
          <w:t>1</w:t>
        </w:r>
        <w:r w:rsidRPr="00667A3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12C55" w14:textId="77777777" w:rsidR="00D07BAF" w:rsidRDefault="00D07BAF" w:rsidP="00F32C6E">
      <w:r>
        <w:separator/>
      </w:r>
    </w:p>
    <w:p w14:paraId="335E7F3D" w14:textId="77777777" w:rsidR="00D07BAF" w:rsidRDefault="00D07BAF" w:rsidP="00F32C6E"/>
    <w:p w14:paraId="4B441024" w14:textId="77777777" w:rsidR="00D07BAF" w:rsidRDefault="00D07BAF" w:rsidP="00F32C6E"/>
  </w:footnote>
  <w:footnote w:type="continuationSeparator" w:id="0">
    <w:p w14:paraId="6DCC6479" w14:textId="77777777" w:rsidR="00D07BAF" w:rsidRDefault="00D07BAF" w:rsidP="00F32C6E">
      <w:r>
        <w:continuationSeparator/>
      </w:r>
    </w:p>
    <w:p w14:paraId="553762FA" w14:textId="77777777" w:rsidR="00D07BAF" w:rsidRDefault="00D07BAF" w:rsidP="00F32C6E"/>
    <w:p w14:paraId="48DCF5C0" w14:textId="77777777" w:rsidR="00D07BAF" w:rsidRDefault="00D07BAF" w:rsidP="00F32C6E"/>
  </w:footnote>
  <w:footnote w:type="continuationNotice" w:id="1">
    <w:p w14:paraId="4653C862" w14:textId="77777777" w:rsidR="00D07BAF" w:rsidRDefault="00D07BAF" w:rsidP="00F32C6E"/>
    <w:p w14:paraId="173B36EA" w14:textId="77777777" w:rsidR="00D07BAF" w:rsidRDefault="00D07BAF" w:rsidP="00F32C6E"/>
    <w:p w14:paraId="55B66448" w14:textId="77777777" w:rsidR="00D07BAF" w:rsidRDefault="00D07BAF" w:rsidP="00F32C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B91B" w14:textId="77777777" w:rsidR="003E5337" w:rsidRDefault="00C74640" w:rsidP="00F32C6E">
    <w:pPr>
      <w:pStyle w:val="Sidehoved"/>
      <w:jc w:val="right"/>
    </w:pPr>
    <w:r>
      <w:rPr>
        <w:noProof/>
        <w:lang w:eastAsia="da-DK"/>
      </w:rPr>
      <w:drawing>
        <wp:inline distT="0" distB="0" distL="0" distR="0" wp14:anchorId="4E2E0157" wp14:editId="55F63A60">
          <wp:extent cx="1752600" cy="538431"/>
          <wp:effectExtent l="0" t="0" r="0" b="0"/>
          <wp:docPr id="9" name="Billede 8">
            <a:extLst xmlns:a="http://schemas.openxmlformats.org/drawingml/2006/main">
              <a:ext uri="{FF2B5EF4-FFF2-40B4-BE49-F238E27FC236}">
                <a16:creationId xmlns:a16="http://schemas.microsoft.com/office/drawing/2014/main" id="{94E9C996-25B3-4C21-9117-9DC0031E30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8">
                    <a:extLst>
                      <a:ext uri="{FF2B5EF4-FFF2-40B4-BE49-F238E27FC236}">
                        <a16:creationId xmlns:a16="http://schemas.microsoft.com/office/drawing/2014/main" id="{94E9C996-25B3-4C21-9117-9DC0031E30D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90" cy="541377"/>
                  </a:xfrm>
                  <a:prstGeom prst="rect">
                    <a:avLst/>
                  </a:prstGeom>
                </pic:spPr>
              </pic:pic>
            </a:graphicData>
          </a:graphic>
        </wp:inline>
      </w:drawing>
    </w:r>
  </w:p>
  <w:p w14:paraId="1CFEF7CF" w14:textId="77777777" w:rsidR="00F32C6E" w:rsidRDefault="00F32C6E" w:rsidP="00F32C6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611"/>
    <w:multiLevelType w:val="hybridMultilevel"/>
    <w:tmpl w:val="98380D02"/>
    <w:lvl w:ilvl="0" w:tplc="44805A56">
      <w:start w:val="1"/>
      <w:numFmt w:val="bullet"/>
      <w:lvlText w:val="​"/>
      <w:lvlJc w:val="left"/>
      <w:pPr>
        <w:tabs>
          <w:tab w:val="num" w:pos="720"/>
        </w:tabs>
        <w:ind w:left="720" w:hanging="360"/>
      </w:pPr>
      <w:rPr>
        <w:rFonts w:ascii="Arial" w:hAnsi="Arial" w:hint="default"/>
      </w:rPr>
    </w:lvl>
    <w:lvl w:ilvl="1" w:tplc="EA5A32A8">
      <w:start w:val="1"/>
      <w:numFmt w:val="bullet"/>
      <w:lvlText w:val="​"/>
      <w:lvlJc w:val="left"/>
      <w:pPr>
        <w:tabs>
          <w:tab w:val="num" w:pos="1440"/>
        </w:tabs>
        <w:ind w:left="1440" w:hanging="360"/>
      </w:pPr>
      <w:rPr>
        <w:rFonts w:ascii="Arial" w:hAnsi="Arial" w:hint="default"/>
      </w:rPr>
    </w:lvl>
    <w:lvl w:ilvl="2" w:tplc="E7BCD6BE" w:tentative="1">
      <w:start w:val="1"/>
      <w:numFmt w:val="bullet"/>
      <w:lvlText w:val="​"/>
      <w:lvlJc w:val="left"/>
      <w:pPr>
        <w:tabs>
          <w:tab w:val="num" w:pos="2160"/>
        </w:tabs>
        <w:ind w:left="2160" w:hanging="360"/>
      </w:pPr>
      <w:rPr>
        <w:rFonts w:ascii="Arial" w:hAnsi="Arial" w:hint="default"/>
      </w:rPr>
    </w:lvl>
    <w:lvl w:ilvl="3" w:tplc="EC1E0188" w:tentative="1">
      <w:start w:val="1"/>
      <w:numFmt w:val="bullet"/>
      <w:lvlText w:val="​"/>
      <w:lvlJc w:val="left"/>
      <w:pPr>
        <w:tabs>
          <w:tab w:val="num" w:pos="2880"/>
        </w:tabs>
        <w:ind w:left="2880" w:hanging="360"/>
      </w:pPr>
      <w:rPr>
        <w:rFonts w:ascii="Arial" w:hAnsi="Arial" w:hint="default"/>
      </w:rPr>
    </w:lvl>
    <w:lvl w:ilvl="4" w:tplc="0C22DDB8" w:tentative="1">
      <w:start w:val="1"/>
      <w:numFmt w:val="bullet"/>
      <w:lvlText w:val="​"/>
      <w:lvlJc w:val="left"/>
      <w:pPr>
        <w:tabs>
          <w:tab w:val="num" w:pos="3600"/>
        </w:tabs>
        <w:ind w:left="3600" w:hanging="360"/>
      </w:pPr>
      <w:rPr>
        <w:rFonts w:ascii="Arial" w:hAnsi="Arial" w:hint="default"/>
      </w:rPr>
    </w:lvl>
    <w:lvl w:ilvl="5" w:tplc="627A3E00" w:tentative="1">
      <w:start w:val="1"/>
      <w:numFmt w:val="bullet"/>
      <w:lvlText w:val="​"/>
      <w:lvlJc w:val="left"/>
      <w:pPr>
        <w:tabs>
          <w:tab w:val="num" w:pos="4320"/>
        </w:tabs>
        <w:ind w:left="4320" w:hanging="360"/>
      </w:pPr>
      <w:rPr>
        <w:rFonts w:ascii="Arial" w:hAnsi="Arial" w:hint="default"/>
      </w:rPr>
    </w:lvl>
    <w:lvl w:ilvl="6" w:tplc="0FCC49FC" w:tentative="1">
      <w:start w:val="1"/>
      <w:numFmt w:val="bullet"/>
      <w:lvlText w:val="​"/>
      <w:lvlJc w:val="left"/>
      <w:pPr>
        <w:tabs>
          <w:tab w:val="num" w:pos="5040"/>
        </w:tabs>
        <w:ind w:left="5040" w:hanging="360"/>
      </w:pPr>
      <w:rPr>
        <w:rFonts w:ascii="Arial" w:hAnsi="Arial" w:hint="default"/>
      </w:rPr>
    </w:lvl>
    <w:lvl w:ilvl="7" w:tplc="BD5E6F98" w:tentative="1">
      <w:start w:val="1"/>
      <w:numFmt w:val="bullet"/>
      <w:lvlText w:val="​"/>
      <w:lvlJc w:val="left"/>
      <w:pPr>
        <w:tabs>
          <w:tab w:val="num" w:pos="5760"/>
        </w:tabs>
        <w:ind w:left="5760" w:hanging="360"/>
      </w:pPr>
      <w:rPr>
        <w:rFonts w:ascii="Arial" w:hAnsi="Arial" w:hint="default"/>
      </w:rPr>
    </w:lvl>
    <w:lvl w:ilvl="8" w:tplc="727A22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EB0DC4"/>
    <w:multiLevelType w:val="multilevel"/>
    <w:tmpl w:val="AC060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F4187"/>
    <w:multiLevelType w:val="hybridMultilevel"/>
    <w:tmpl w:val="11C052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EF5F33"/>
    <w:multiLevelType w:val="hybridMultilevel"/>
    <w:tmpl w:val="64826344"/>
    <w:lvl w:ilvl="0" w:tplc="B3AC79B4">
      <w:numFmt w:val="bullet"/>
      <w:lvlText w:val="-"/>
      <w:lvlJc w:val="left"/>
      <w:pPr>
        <w:ind w:left="720" w:hanging="360"/>
      </w:pPr>
      <w:rPr>
        <w:rFonts w:ascii="Corbel" w:eastAsiaTheme="minorHAnsi" w:hAnsi="Corbe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C5739B"/>
    <w:multiLevelType w:val="multilevel"/>
    <w:tmpl w:val="AC060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F5A34"/>
    <w:multiLevelType w:val="multilevel"/>
    <w:tmpl w:val="A5F2A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052CB4"/>
    <w:multiLevelType w:val="hybridMultilevel"/>
    <w:tmpl w:val="A9BE7E6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CE708EA"/>
    <w:multiLevelType w:val="hybridMultilevel"/>
    <w:tmpl w:val="4208A5AE"/>
    <w:lvl w:ilvl="0" w:tplc="992C998A">
      <w:start w:val="1"/>
      <w:numFmt w:val="bullet"/>
      <w:lvlText w:val="-"/>
      <w:lvlJc w:val="left"/>
      <w:pPr>
        <w:tabs>
          <w:tab w:val="num" w:pos="720"/>
        </w:tabs>
        <w:ind w:left="720" w:hanging="360"/>
      </w:pPr>
      <w:rPr>
        <w:rFonts w:ascii="Times New Roman" w:hAnsi="Times New Roman" w:hint="default"/>
      </w:rPr>
    </w:lvl>
    <w:lvl w:ilvl="1" w:tplc="E10076C2" w:tentative="1">
      <w:start w:val="1"/>
      <w:numFmt w:val="bullet"/>
      <w:lvlText w:val="-"/>
      <w:lvlJc w:val="left"/>
      <w:pPr>
        <w:tabs>
          <w:tab w:val="num" w:pos="1440"/>
        </w:tabs>
        <w:ind w:left="1440" w:hanging="360"/>
      </w:pPr>
      <w:rPr>
        <w:rFonts w:ascii="Times New Roman" w:hAnsi="Times New Roman" w:hint="default"/>
      </w:rPr>
    </w:lvl>
    <w:lvl w:ilvl="2" w:tplc="5EAECF68" w:tentative="1">
      <w:start w:val="1"/>
      <w:numFmt w:val="bullet"/>
      <w:lvlText w:val="-"/>
      <w:lvlJc w:val="left"/>
      <w:pPr>
        <w:tabs>
          <w:tab w:val="num" w:pos="2160"/>
        </w:tabs>
        <w:ind w:left="2160" w:hanging="360"/>
      </w:pPr>
      <w:rPr>
        <w:rFonts w:ascii="Times New Roman" w:hAnsi="Times New Roman" w:hint="default"/>
      </w:rPr>
    </w:lvl>
    <w:lvl w:ilvl="3" w:tplc="77FEE2E0" w:tentative="1">
      <w:start w:val="1"/>
      <w:numFmt w:val="bullet"/>
      <w:lvlText w:val="-"/>
      <w:lvlJc w:val="left"/>
      <w:pPr>
        <w:tabs>
          <w:tab w:val="num" w:pos="2880"/>
        </w:tabs>
        <w:ind w:left="2880" w:hanging="360"/>
      </w:pPr>
      <w:rPr>
        <w:rFonts w:ascii="Times New Roman" w:hAnsi="Times New Roman" w:hint="default"/>
      </w:rPr>
    </w:lvl>
    <w:lvl w:ilvl="4" w:tplc="44723FF4" w:tentative="1">
      <w:start w:val="1"/>
      <w:numFmt w:val="bullet"/>
      <w:lvlText w:val="-"/>
      <w:lvlJc w:val="left"/>
      <w:pPr>
        <w:tabs>
          <w:tab w:val="num" w:pos="3600"/>
        </w:tabs>
        <w:ind w:left="3600" w:hanging="360"/>
      </w:pPr>
      <w:rPr>
        <w:rFonts w:ascii="Times New Roman" w:hAnsi="Times New Roman" w:hint="default"/>
      </w:rPr>
    </w:lvl>
    <w:lvl w:ilvl="5" w:tplc="BD4A759C" w:tentative="1">
      <w:start w:val="1"/>
      <w:numFmt w:val="bullet"/>
      <w:lvlText w:val="-"/>
      <w:lvlJc w:val="left"/>
      <w:pPr>
        <w:tabs>
          <w:tab w:val="num" w:pos="4320"/>
        </w:tabs>
        <w:ind w:left="4320" w:hanging="360"/>
      </w:pPr>
      <w:rPr>
        <w:rFonts w:ascii="Times New Roman" w:hAnsi="Times New Roman" w:hint="default"/>
      </w:rPr>
    </w:lvl>
    <w:lvl w:ilvl="6" w:tplc="8536C842" w:tentative="1">
      <w:start w:val="1"/>
      <w:numFmt w:val="bullet"/>
      <w:lvlText w:val="-"/>
      <w:lvlJc w:val="left"/>
      <w:pPr>
        <w:tabs>
          <w:tab w:val="num" w:pos="5040"/>
        </w:tabs>
        <w:ind w:left="5040" w:hanging="360"/>
      </w:pPr>
      <w:rPr>
        <w:rFonts w:ascii="Times New Roman" w:hAnsi="Times New Roman" w:hint="default"/>
      </w:rPr>
    </w:lvl>
    <w:lvl w:ilvl="7" w:tplc="004CA114" w:tentative="1">
      <w:start w:val="1"/>
      <w:numFmt w:val="bullet"/>
      <w:lvlText w:val="-"/>
      <w:lvlJc w:val="left"/>
      <w:pPr>
        <w:tabs>
          <w:tab w:val="num" w:pos="5760"/>
        </w:tabs>
        <w:ind w:left="5760" w:hanging="360"/>
      </w:pPr>
      <w:rPr>
        <w:rFonts w:ascii="Times New Roman" w:hAnsi="Times New Roman" w:hint="default"/>
      </w:rPr>
    </w:lvl>
    <w:lvl w:ilvl="8" w:tplc="11E855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1938B9"/>
    <w:multiLevelType w:val="hybridMultilevel"/>
    <w:tmpl w:val="946A31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8FF0959"/>
    <w:multiLevelType w:val="hybridMultilevel"/>
    <w:tmpl w:val="AC3C2DAA"/>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E20BAD"/>
    <w:multiLevelType w:val="hybridMultilevel"/>
    <w:tmpl w:val="DB721E70"/>
    <w:lvl w:ilvl="0" w:tplc="FFFFFFFF">
      <w:start w:val="1"/>
      <w:numFmt w:val="bullet"/>
      <w:lvlText w:val="-"/>
      <w:lvlJc w:val="left"/>
      <w:pPr>
        <w:ind w:left="720" w:hanging="360"/>
      </w:pPr>
      <w:rPr>
        <w:rFonts w:ascii="Corbel" w:hAnsi="Corbe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AB766E8"/>
    <w:multiLevelType w:val="multilevel"/>
    <w:tmpl w:val="5E86C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
  </w:num>
  <w:num w:numId="4">
    <w:abstractNumId w:val="6"/>
  </w:num>
  <w:num w:numId="5">
    <w:abstractNumId w:val="7"/>
  </w:num>
  <w:num w:numId="6">
    <w:abstractNumId w:val="3"/>
  </w:num>
  <w:num w:numId="7">
    <w:abstractNumId w:val="10"/>
  </w:num>
  <w:num w:numId="8">
    <w:abstractNumId w:val="5"/>
  </w:num>
  <w:num w:numId="9">
    <w:abstractNumId w:val="2"/>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a-DK" w:vendorID="64" w:dllVersion="0" w:nlCheck="1" w:checkStyle="0"/>
  <w:activeWritingStyle w:appName="MSWord" w:lang="en-US" w:vendorID="64" w:dllVersion="0" w:nlCheck="1" w:checkStyle="0"/>
  <w:revisionView w:inkAnnotation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E6"/>
    <w:rsid w:val="00002462"/>
    <w:rsid w:val="00002D4D"/>
    <w:rsid w:val="000041EA"/>
    <w:rsid w:val="00004AF7"/>
    <w:rsid w:val="00007397"/>
    <w:rsid w:val="00020C91"/>
    <w:rsid w:val="00024307"/>
    <w:rsid w:val="000254A2"/>
    <w:rsid w:val="00025CE9"/>
    <w:rsid w:val="00027E27"/>
    <w:rsid w:val="00030958"/>
    <w:rsid w:val="00030FAB"/>
    <w:rsid w:val="00034212"/>
    <w:rsid w:val="00042D6F"/>
    <w:rsid w:val="00043FE8"/>
    <w:rsid w:val="000457C0"/>
    <w:rsid w:val="00045E8B"/>
    <w:rsid w:val="00050635"/>
    <w:rsid w:val="00051FFF"/>
    <w:rsid w:val="00056802"/>
    <w:rsid w:val="00056EDE"/>
    <w:rsid w:val="00057E19"/>
    <w:rsid w:val="000602AA"/>
    <w:rsid w:val="00060331"/>
    <w:rsid w:val="00060E08"/>
    <w:rsid w:val="00062518"/>
    <w:rsid w:val="0006461F"/>
    <w:rsid w:val="00064E1F"/>
    <w:rsid w:val="00067BF2"/>
    <w:rsid w:val="00075EC0"/>
    <w:rsid w:val="0008644A"/>
    <w:rsid w:val="00090302"/>
    <w:rsid w:val="000911BF"/>
    <w:rsid w:val="00092157"/>
    <w:rsid w:val="00094452"/>
    <w:rsid w:val="000952C6"/>
    <w:rsid w:val="000A0735"/>
    <w:rsid w:val="000A0A64"/>
    <w:rsid w:val="000A2E52"/>
    <w:rsid w:val="000A58C9"/>
    <w:rsid w:val="000B6848"/>
    <w:rsid w:val="000C2F55"/>
    <w:rsid w:val="000C3B75"/>
    <w:rsid w:val="000C4C08"/>
    <w:rsid w:val="000D5D8F"/>
    <w:rsid w:val="000E3127"/>
    <w:rsid w:val="000E6CBA"/>
    <w:rsid w:val="000E7217"/>
    <w:rsid w:val="000E74F4"/>
    <w:rsid w:val="000F1E3A"/>
    <w:rsid w:val="000F6547"/>
    <w:rsid w:val="00101D6E"/>
    <w:rsid w:val="00104486"/>
    <w:rsid w:val="00105E95"/>
    <w:rsid w:val="001073F9"/>
    <w:rsid w:val="00113648"/>
    <w:rsid w:val="00114723"/>
    <w:rsid w:val="00115767"/>
    <w:rsid w:val="00120A0D"/>
    <w:rsid w:val="0012656B"/>
    <w:rsid w:val="00130743"/>
    <w:rsid w:val="00130CA4"/>
    <w:rsid w:val="00144DF7"/>
    <w:rsid w:val="00146F9E"/>
    <w:rsid w:val="00161FA7"/>
    <w:rsid w:val="00162293"/>
    <w:rsid w:val="001627A4"/>
    <w:rsid w:val="00162C8E"/>
    <w:rsid w:val="00164E77"/>
    <w:rsid w:val="00166B2C"/>
    <w:rsid w:val="00166E75"/>
    <w:rsid w:val="001771A8"/>
    <w:rsid w:val="001802B5"/>
    <w:rsid w:val="001802F6"/>
    <w:rsid w:val="001846B9"/>
    <w:rsid w:val="0018688B"/>
    <w:rsid w:val="001926DA"/>
    <w:rsid w:val="00194C6B"/>
    <w:rsid w:val="001A0C87"/>
    <w:rsid w:val="001A1515"/>
    <w:rsid w:val="001A4B98"/>
    <w:rsid w:val="001A7E06"/>
    <w:rsid w:val="001B1BB0"/>
    <w:rsid w:val="001B26CE"/>
    <w:rsid w:val="001D166B"/>
    <w:rsid w:val="001D360E"/>
    <w:rsid w:val="001D6CA6"/>
    <w:rsid w:val="001D6F03"/>
    <w:rsid w:val="001D7A86"/>
    <w:rsid w:val="001E1DB6"/>
    <w:rsid w:val="001E218A"/>
    <w:rsid w:val="001E5548"/>
    <w:rsid w:val="001F080F"/>
    <w:rsid w:val="001F44CD"/>
    <w:rsid w:val="001F5EA0"/>
    <w:rsid w:val="001F6233"/>
    <w:rsid w:val="00200402"/>
    <w:rsid w:val="0020152D"/>
    <w:rsid w:val="00203A97"/>
    <w:rsid w:val="00204F48"/>
    <w:rsid w:val="0021216A"/>
    <w:rsid w:val="00220268"/>
    <w:rsid w:val="00224658"/>
    <w:rsid w:val="00230052"/>
    <w:rsid w:val="00230207"/>
    <w:rsid w:val="002318CB"/>
    <w:rsid w:val="00231C9F"/>
    <w:rsid w:val="002367AC"/>
    <w:rsid w:val="00236CFA"/>
    <w:rsid w:val="002473CE"/>
    <w:rsid w:val="00250F7F"/>
    <w:rsid w:val="00255A61"/>
    <w:rsid w:val="00257767"/>
    <w:rsid w:val="00263A93"/>
    <w:rsid w:val="00264F3C"/>
    <w:rsid w:val="00273EC1"/>
    <w:rsid w:val="00277321"/>
    <w:rsid w:val="00281BAB"/>
    <w:rsid w:val="00286EAC"/>
    <w:rsid w:val="00287BFC"/>
    <w:rsid w:val="00291B7D"/>
    <w:rsid w:val="00295888"/>
    <w:rsid w:val="002A27BF"/>
    <w:rsid w:val="002A2A70"/>
    <w:rsid w:val="002A375B"/>
    <w:rsid w:val="002A39C6"/>
    <w:rsid w:val="002A3A89"/>
    <w:rsid w:val="002B20F5"/>
    <w:rsid w:val="002B671F"/>
    <w:rsid w:val="002B6F57"/>
    <w:rsid w:val="002C23D5"/>
    <w:rsid w:val="002D2572"/>
    <w:rsid w:val="002D3A77"/>
    <w:rsid w:val="002D69DB"/>
    <w:rsid w:val="002E5E06"/>
    <w:rsid w:val="002E6104"/>
    <w:rsid w:val="002F11FF"/>
    <w:rsid w:val="002F15CD"/>
    <w:rsid w:val="003005CB"/>
    <w:rsid w:val="00300B17"/>
    <w:rsid w:val="00302E0B"/>
    <w:rsid w:val="003047E6"/>
    <w:rsid w:val="00305E25"/>
    <w:rsid w:val="00311922"/>
    <w:rsid w:val="0032356A"/>
    <w:rsid w:val="003236A5"/>
    <w:rsid w:val="003306DD"/>
    <w:rsid w:val="00331AE3"/>
    <w:rsid w:val="00332990"/>
    <w:rsid w:val="0033338A"/>
    <w:rsid w:val="00340AD2"/>
    <w:rsid w:val="0034288D"/>
    <w:rsid w:val="0034294C"/>
    <w:rsid w:val="003430A1"/>
    <w:rsid w:val="00346689"/>
    <w:rsid w:val="00350794"/>
    <w:rsid w:val="003510B5"/>
    <w:rsid w:val="003512B3"/>
    <w:rsid w:val="00355BFC"/>
    <w:rsid w:val="00360C4D"/>
    <w:rsid w:val="00372150"/>
    <w:rsid w:val="003752E2"/>
    <w:rsid w:val="00375ECD"/>
    <w:rsid w:val="00376FFB"/>
    <w:rsid w:val="0037749A"/>
    <w:rsid w:val="003847B4"/>
    <w:rsid w:val="0038507D"/>
    <w:rsid w:val="003854BA"/>
    <w:rsid w:val="003938A2"/>
    <w:rsid w:val="003B0325"/>
    <w:rsid w:val="003B0B66"/>
    <w:rsid w:val="003B5CA3"/>
    <w:rsid w:val="003B65F0"/>
    <w:rsid w:val="003B7E83"/>
    <w:rsid w:val="003C0DAB"/>
    <w:rsid w:val="003C22C3"/>
    <w:rsid w:val="003D0A26"/>
    <w:rsid w:val="003E1C74"/>
    <w:rsid w:val="003E393D"/>
    <w:rsid w:val="003E5337"/>
    <w:rsid w:val="003E56D4"/>
    <w:rsid w:val="003F5EFC"/>
    <w:rsid w:val="003F7B0B"/>
    <w:rsid w:val="00400D9F"/>
    <w:rsid w:val="00403E9E"/>
    <w:rsid w:val="00406D6E"/>
    <w:rsid w:val="00415CA9"/>
    <w:rsid w:val="00430DB9"/>
    <w:rsid w:val="00432824"/>
    <w:rsid w:val="0043435A"/>
    <w:rsid w:val="0044004B"/>
    <w:rsid w:val="0044020C"/>
    <w:rsid w:val="00440805"/>
    <w:rsid w:val="0044087E"/>
    <w:rsid w:val="00446983"/>
    <w:rsid w:val="00446D4C"/>
    <w:rsid w:val="00447B90"/>
    <w:rsid w:val="0045109F"/>
    <w:rsid w:val="00452E2D"/>
    <w:rsid w:val="004565E9"/>
    <w:rsid w:val="00467450"/>
    <w:rsid w:val="004756FA"/>
    <w:rsid w:val="00475A99"/>
    <w:rsid w:val="0048223E"/>
    <w:rsid w:val="00482FF5"/>
    <w:rsid w:val="00495EF7"/>
    <w:rsid w:val="004A08A0"/>
    <w:rsid w:val="004A137E"/>
    <w:rsid w:val="004A7DE7"/>
    <w:rsid w:val="004B2BB7"/>
    <w:rsid w:val="004B43E7"/>
    <w:rsid w:val="004D62E8"/>
    <w:rsid w:val="004D73E7"/>
    <w:rsid w:val="004E5226"/>
    <w:rsid w:val="004F312E"/>
    <w:rsid w:val="00501660"/>
    <w:rsid w:val="005058DC"/>
    <w:rsid w:val="00510967"/>
    <w:rsid w:val="0051378D"/>
    <w:rsid w:val="00514C2B"/>
    <w:rsid w:val="0051627D"/>
    <w:rsid w:val="005163D6"/>
    <w:rsid w:val="005179F1"/>
    <w:rsid w:val="00520284"/>
    <w:rsid w:val="00530D17"/>
    <w:rsid w:val="00536A9A"/>
    <w:rsid w:val="005371FF"/>
    <w:rsid w:val="00541CC6"/>
    <w:rsid w:val="00542D1E"/>
    <w:rsid w:val="00543A74"/>
    <w:rsid w:val="00544A67"/>
    <w:rsid w:val="00553A37"/>
    <w:rsid w:val="00555EAF"/>
    <w:rsid w:val="0056018B"/>
    <w:rsid w:val="00560343"/>
    <w:rsid w:val="00562C4B"/>
    <w:rsid w:val="0056620A"/>
    <w:rsid w:val="00567321"/>
    <w:rsid w:val="0057082F"/>
    <w:rsid w:val="005769C8"/>
    <w:rsid w:val="005817A1"/>
    <w:rsid w:val="0058372A"/>
    <w:rsid w:val="00583ABD"/>
    <w:rsid w:val="00587680"/>
    <w:rsid w:val="00587E84"/>
    <w:rsid w:val="00591B65"/>
    <w:rsid w:val="00593F4A"/>
    <w:rsid w:val="00594058"/>
    <w:rsid w:val="005954EC"/>
    <w:rsid w:val="005A114A"/>
    <w:rsid w:val="005A6671"/>
    <w:rsid w:val="005A6BDF"/>
    <w:rsid w:val="005A7367"/>
    <w:rsid w:val="005B1180"/>
    <w:rsid w:val="005B3130"/>
    <w:rsid w:val="005B4A73"/>
    <w:rsid w:val="005B6B75"/>
    <w:rsid w:val="005C5D30"/>
    <w:rsid w:val="005D1FDE"/>
    <w:rsid w:val="005D45F0"/>
    <w:rsid w:val="005E1446"/>
    <w:rsid w:val="005E1F23"/>
    <w:rsid w:val="005E52B7"/>
    <w:rsid w:val="005E6E28"/>
    <w:rsid w:val="005F2484"/>
    <w:rsid w:val="005F442F"/>
    <w:rsid w:val="00603BDF"/>
    <w:rsid w:val="00603BE1"/>
    <w:rsid w:val="006106E6"/>
    <w:rsid w:val="00610854"/>
    <w:rsid w:val="006111F9"/>
    <w:rsid w:val="00612826"/>
    <w:rsid w:val="00614B49"/>
    <w:rsid w:val="006256C3"/>
    <w:rsid w:val="00632A1A"/>
    <w:rsid w:val="006330D6"/>
    <w:rsid w:val="00641F1A"/>
    <w:rsid w:val="0064407F"/>
    <w:rsid w:val="00644AD4"/>
    <w:rsid w:val="00645E7C"/>
    <w:rsid w:val="00647642"/>
    <w:rsid w:val="00653237"/>
    <w:rsid w:val="00653C67"/>
    <w:rsid w:val="00655AA4"/>
    <w:rsid w:val="00661757"/>
    <w:rsid w:val="0066606F"/>
    <w:rsid w:val="00666601"/>
    <w:rsid w:val="00667A3D"/>
    <w:rsid w:val="00667A77"/>
    <w:rsid w:val="00674468"/>
    <w:rsid w:val="00675122"/>
    <w:rsid w:val="00680FF6"/>
    <w:rsid w:val="0068443B"/>
    <w:rsid w:val="00686329"/>
    <w:rsid w:val="00686D5A"/>
    <w:rsid w:val="00690EFC"/>
    <w:rsid w:val="0069170D"/>
    <w:rsid w:val="00692AB3"/>
    <w:rsid w:val="006948A1"/>
    <w:rsid w:val="006978E6"/>
    <w:rsid w:val="006A2C5D"/>
    <w:rsid w:val="006A40B5"/>
    <w:rsid w:val="006A5D7C"/>
    <w:rsid w:val="006B0D36"/>
    <w:rsid w:val="006B761F"/>
    <w:rsid w:val="006C44FA"/>
    <w:rsid w:val="006C4A17"/>
    <w:rsid w:val="006D2636"/>
    <w:rsid w:val="006E04FB"/>
    <w:rsid w:val="006E105C"/>
    <w:rsid w:val="006E3EAF"/>
    <w:rsid w:val="006E7B9F"/>
    <w:rsid w:val="006E7E9A"/>
    <w:rsid w:val="006F293D"/>
    <w:rsid w:val="006F32D7"/>
    <w:rsid w:val="006F3350"/>
    <w:rsid w:val="00712AA0"/>
    <w:rsid w:val="007153D0"/>
    <w:rsid w:val="0072115B"/>
    <w:rsid w:val="00721245"/>
    <w:rsid w:val="00721555"/>
    <w:rsid w:val="00727A80"/>
    <w:rsid w:val="00727B68"/>
    <w:rsid w:val="00732BC5"/>
    <w:rsid w:val="00734133"/>
    <w:rsid w:val="00735EEF"/>
    <w:rsid w:val="00736C0C"/>
    <w:rsid w:val="0074241A"/>
    <w:rsid w:val="007429C2"/>
    <w:rsid w:val="00745762"/>
    <w:rsid w:val="007464FD"/>
    <w:rsid w:val="007522FB"/>
    <w:rsid w:val="00752959"/>
    <w:rsid w:val="00757A26"/>
    <w:rsid w:val="0076275D"/>
    <w:rsid w:val="00764088"/>
    <w:rsid w:val="00765B9F"/>
    <w:rsid w:val="00765DE9"/>
    <w:rsid w:val="007672D7"/>
    <w:rsid w:val="00771444"/>
    <w:rsid w:val="007720CE"/>
    <w:rsid w:val="007854D2"/>
    <w:rsid w:val="00785EBF"/>
    <w:rsid w:val="00785FFC"/>
    <w:rsid w:val="00786A1C"/>
    <w:rsid w:val="00793444"/>
    <w:rsid w:val="00793D9C"/>
    <w:rsid w:val="00795F3A"/>
    <w:rsid w:val="007A5E66"/>
    <w:rsid w:val="007B1C2D"/>
    <w:rsid w:val="007B35CB"/>
    <w:rsid w:val="007B3E1E"/>
    <w:rsid w:val="007B6361"/>
    <w:rsid w:val="007C321C"/>
    <w:rsid w:val="007C482E"/>
    <w:rsid w:val="007D37A7"/>
    <w:rsid w:val="007D7051"/>
    <w:rsid w:val="007D7D7D"/>
    <w:rsid w:val="007E2BF8"/>
    <w:rsid w:val="007E347E"/>
    <w:rsid w:val="007E4993"/>
    <w:rsid w:val="007E69D5"/>
    <w:rsid w:val="007E6D49"/>
    <w:rsid w:val="007F26AA"/>
    <w:rsid w:val="007F3143"/>
    <w:rsid w:val="007F4AAE"/>
    <w:rsid w:val="007F583A"/>
    <w:rsid w:val="007F7619"/>
    <w:rsid w:val="008018C4"/>
    <w:rsid w:val="008076A3"/>
    <w:rsid w:val="008116A1"/>
    <w:rsid w:val="008121A4"/>
    <w:rsid w:val="00813A79"/>
    <w:rsid w:val="008172DC"/>
    <w:rsid w:val="0082075B"/>
    <w:rsid w:val="008224B5"/>
    <w:rsid w:val="00822568"/>
    <w:rsid w:val="00823580"/>
    <w:rsid w:val="008339B3"/>
    <w:rsid w:val="00844CFC"/>
    <w:rsid w:val="00847C45"/>
    <w:rsid w:val="008502F9"/>
    <w:rsid w:val="008506E1"/>
    <w:rsid w:val="008517A7"/>
    <w:rsid w:val="0085367E"/>
    <w:rsid w:val="0086117A"/>
    <w:rsid w:val="00866490"/>
    <w:rsid w:val="008710C2"/>
    <w:rsid w:val="008722C0"/>
    <w:rsid w:val="0087331F"/>
    <w:rsid w:val="0088063B"/>
    <w:rsid w:val="0088718E"/>
    <w:rsid w:val="00891F00"/>
    <w:rsid w:val="0089223E"/>
    <w:rsid w:val="00896E19"/>
    <w:rsid w:val="008A12EA"/>
    <w:rsid w:val="008A7446"/>
    <w:rsid w:val="008B6FE0"/>
    <w:rsid w:val="008B7585"/>
    <w:rsid w:val="008B7BEE"/>
    <w:rsid w:val="008D14BD"/>
    <w:rsid w:val="008D432F"/>
    <w:rsid w:val="008D6D09"/>
    <w:rsid w:val="008D7DB5"/>
    <w:rsid w:val="008E397F"/>
    <w:rsid w:val="008E4DA5"/>
    <w:rsid w:val="008F586B"/>
    <w:rsid w:val="008F6A6B"/>
    <w:rsid w:val="00904F55"/>
    <w:rsid w:val="00906194"/>
    <w:rsid w:val="00920319"/>
    <w:rsid w:val="00921CB9"/>
    <w:rsid w:val="00925DC3"/>
    <w:rsid w:val="0093767E"/>
    <w:rsid w:val="0093784C"/>
    <w:rsid w:val="00942357"/>
    <w:rsid w:val="0094488F"/>
    <w:rsid w:val="00954488"/>
    <w:rsid w:val="00955A3B"/>
    <w:rsid w:val="00965AB2"/>
    <w:rsid w:val="0096790B"/>
    <w:rsid w:val="00970745"/>
    <w:rsid w:val="00970F5F"/>
    <w:rsid w:val="00972662"/>
    <w:rsid w:val="009851BE"/>
    <w:rsid w:val="00986670"/>
    <w:rsid w:val="00988312"/>
    <w:rsid w:val="009904C5"/>
    <w:rsid w:val="00990A8E"/>
    <w:rsid w:val="00993156"/>
    <w:rsid w:val="009A21C0"/>
    <w:rsid w:val="009A3CC3"/>
    <w:rsid w:val="009A40DF"/>
    <w:rsid w:val="009A7791"/>
    <w:rsid w:val="009B00AE"/>
    <w:rsid w:val="009B02F4"/>
    <w:rsid w:val="009B1D40"/>
    <w:rsid w:val="009B40A3"/>
    <w:rsid w:val="009C1517"/>
    <w:rsid w:val="009C691F"/>
    <w:rsid w:val="009E27E9"/>
    <w:rsid w:val="009F0DF9"/>
    <w:rsid w:val="009F272A"/>
    <w:rsid w:val="009F4090"/>
    <w:rsid w:val="009F6174"/>
    <w:rsid w:val="00A00627"/>
    <w:rsid w:val="00A1242F"/>
    <w:rsid w:val="00A1343F"/>
    <w:rsid w:val="00A17FF4"/>
    <w:rsid w:val="00A26029"/>
    <w:rsid w:val="00A3016D"/>
    <w:rsid w:val="00A33A5A"/>
    <w:rsid w:val="00A34B1C"/>
    <w:rsid w:val="00A34D00"/>
    <w:rsid w:val="00A3661B"/>
    <w:rsid w:val="00A43A77"/>
    <w:rsid w:val="00A44897"/>
    <w:rsid w:val="00A458F1"/>
    <w:rsid w:val="00A53579"/>
    <w:rsid w:val="00A53C83"/>
    <w:rsid w:val="00A62090"/>
    <w:rsid w:val="00A6431F"/>
    <w:rsid w:val="00A678A3"/>
    <w:rsid w:val="00A70E3B"/>
    <w:rsid w:val="00A7619E"/>
    <w:rsid w:val="00A91E00"/>
    <w:rsid w:val="00A93AFF"/>
    <w:rsid w:val="00A94265"/>
    <w:rsid w:val="00A94A95"/>
    <w:rsid w:val="00AA751A"/>
    <w:rsid w:val="00AA7AC2"/>
    <w:rsid w:val="00AB071D"/>
    <w:rsid w:val="00AB7C4A"/>
    <w:rsid w:val="00AC127A"/>
    <w:rsid w:val="00AC2CAF"/>
    <w:rsid w:val="00AD00BF"/>
    <w:rsid w:val="00AD3400"/>
    <w:rsid w:val="00AD4595"/>
    <w:rsid w:val="00AD54CD"/>
    <w:rsid w:val="00AE1F17"/>
    <w:rsid w:val="00AE7AF7"/>
    <w:rsid w:val="00AF1509"/>
    <w:rsid w:val="00AF69C9"/>
    <w:rsid w:val="00B05135"/>
    <w:rsid w:val="00B056A7"/>
    <w:rsid w:val="00B1319D"/>
    <w:rsid w:val="00B140E0"/>
    <w:rsid w:val="00B15391"/>
    <w:rsid w:val="00B1600B"/>
    <w:rsid w:val="00B17D16"/>
    <w:rsid w:val="00B31F77"/>
    <w:rsid w:val="00B344C8"/>
    <w:rsid w:val="00B35F8A"/>
    <w:rsid w:val="00B362FC"/>
    <w:rsid w:val="00B36A0F"/>
    <w:rsid w:val="00B37D50"/>
    <w:rsid w:val="00B430F1"/>
    <w:rsid w:val="00B435E4"/>
    <w:rsid w:val="00B459E8"/>
    <w:rsid w:val="00B5393C"/>
    <w:rsid w:val="00B54430"/>
    <w:rsid w:val="00B61EDA"/>
    <w:rsid w:val="00B64C5B"/>
    <w:rsid w:val="00B703BC"/>
    <w:rsid w:val="00B71BA1"/>
    <w:rsid w:val="00B75DFD"/>
    <w:rsid w:val="00B80199"/>
    <w:rsid w:val="00B85689"/>
    <w:rsid w:val="00B860DF"/>
    <w:rsid w:val="00B91E85"/>
    <w:rsid w:val="00BA3A94"/>
    <w:rsid w:val="00BA3F82"/>
    <w:rsid w:val="00BA511E"/>
    <w:rsid w:val="00BA7E90"/>
    <w:rsid w:val="00BB37F9"/>
    <w:rsid w:val="00BB5021"/>
    <w:rsid w:val="00BB581C"/>
    <w:rsid w:val="00BB5BBB"/>
    <w:rsid w:val="00BC1E20"/>
    <w:rsid w:val="00BC53A6"/>
    <w:rsid w:val="00BD084F"/>
    <w:rsid w:val="00BD2378"/>
    <w:rsid w:val="00BD2DB6"/>
    <w:rsid w:val="00BD3504"/>
    <w:rsid w:val="00BD61B7"/>
    <w:rsid w:val="00BE4419"/>
    <w:rsid w:val="00BE4AF7"/>
    <w:rsid w:val="00BE633C"/>
    <w:rsid w:val="00BF4B38"/>
    <w:rsid w:val="00C07113"/>
    <w:rsid w:val="00C0F01B"/>
    <w:rsid w:val="00C10435"/>
    <w:rsid w:val="00C109F3"/>
    <w:rsid w:val="00C11A2D"/>
    <w:rsid w:val="00C17D25"/>
    <w:rsid w:val="00C22530"/>
    <w:rsid w:val="00C25395"/>
    <w:rsid w:val="00C301BA"/>
    <w:rsid w:val="00C355FA"/>
    <w:rsid w:val="00C36637"/>
    <w:rsid w:val="00C36A49"/>
    <w:rsid w:val="00C4109D"/>
    <w:rsid w:val="00C418F3"/>
    <w:rsid w:val="00C475F1"/>
    <w:rsid w:val="00C544B7"/>
    <w:rsid w:val="00C54CA0"/>
    <w:rsid w:val="00C56A06"/>
    <w:rsid w:val="00C60EB8"/>
    <w:rsid w:val="00C62FF9"/>
    <w:rsid w:val="00C64325"/>
    <w:rsid w:val="00C74020"/>
    <w:rsid w:val="00C74640"/>
    <w:rsid w:val="00C773B4"/>
    <w:rsid w:val="00C83B9C"/>
    <w:rsid w:val="00C84B4C"/>
    <w:rsid w:val="00C85FD5"/>
    <w:rsid w:val="00C87618"/>
    <w:rsid w:val="00C9187A"/>
    <w:rsid w:val="00C94D45"/>
    <w:rsid w:val="00C94F46"/>
    <w:rsid w:val="00CA2FA1"/>
    <w:rsid w:val="00CA5207"/>
    <w:rsid w:val="00CB3271"/>
    <w:rsid w:val="00CC05E2"/>
    <w:rsid w:val="00CC1CFA"/>
    <w:rsid w:val="00CC4E5F"/>
    <w:rsid w:val="00CC5FA2"/>
    <w:rsid w:val="00CC7F43"/>
    <w:rsid w:val="00CD0560"/>
    <w:rsid w:val="00CD1D50"/>
    <w:rsid w:val="00CD51D3"/>
    <w:rsid w:val="00CD79FF"/>
    <w:rsid w:val="00CE2979"/>
    <w:rsid w:val="00CE5DCE"/>
    <w:rsid w:val="00CE5FFC"/>
    <w:rsid w:val="00CE7750"/>
    <w:rsid w:val="00CE7FF3"/>
    <w:rsid w:val="00CF0A46"/>
    <w:rsid w:val="00CF1EFE"/>
    <w:rsid w:val="00CF4B84"/>
    <w:rsid w:val="00CF7918"/>
    <w:rsid w:val="00D004AF"/>
    <w:rsid w:val="00D07BAF"/>
    <w:rsid w:val="00D1074B"/>
    <w:rsid w:val="00D110B6"/>
    <w:rsid w:val="00D15F38"/>
    <w:rsid w:val="00D16488"/>
    <w:rsid w:val="00D16FFB"/>
    <w:rsid w:val="00D26B92"/>
    <w:rsid w:val="00D2738B"/>
    <w:rsid w:val="00D40AD8"/>
    <w:rsid w:val="00D42361"/>
    <w:rsid w:val="00D43C81"/>
    <w:rsid w:val="00D5182E"/>
    <w:rsid w:val="00D51BD7"/>
    <w:rsid w:val="00D531A8"/>
    <w:rsid w:val="00D5778E"/>
    <w:rsid w:val="00D57D1C"/>
    <w:rsid w:val="00D70942"/>
    <w:rsid w:val="00D72F0C"/>
    <w:rsid w:val="00D75131"/>
    <w:rsid w:val="00D75D3D"/>
    <w:rsid w:val="00D82998"/>
    <w:rsid w:val="00D9281C"/>
    <w:rsid w:val="00D93B05"/>
    <w:rsid w:val="00D95A3E"/>
    <w:rsid w:val="00D97566"/>
    <w:rsid w:val="00DA083A"/>
    <w:rsid w:val="00DA112B"/>
    <w:rsid w:val="00DA164F"/>
    <w:rsid w:val="00DA49AC"/>
    <w:rsid w:val="00DA5ACB"/>
    <w:rsid w:val="00DA694B"/>
    <w:rsid w:val="00DB370F"/>
    <w:rsid w:val="00DB403F"/>
    <w:rsid w:val="00DC029F"/>
    <w:rsid w:val="00DC2F60"/>
    <w:rsid w:val="00DC3D6C"/>
    <w:rsid w:val="00DC685F"/>
    <w:rsid w:val="00DCC544"/>
    <w:rsid w:val="00DD142E"/>
    <w:rsid w:val="00DD15FA"/>
    <w:rsid w:val="00DD49BE"/>
    <w:rsid w:val="00DD4D5F"/>
    <w:rsid w:val="00DD663D"/>
    <w:rsid w:val="00DE09BD"/>
    <w:rsid w:val="00DE144D"/>
    <w:rsid w:val="00DE3F15"/>
    <w:rsid w:val="00DF221B"/>
    <w:rsid w:val="00DF5367"/>
    <w:rsid w:val="00DF6742"/>
    <w:rsid w:val="00DF6B5C"/>
    <w:rsid w:val="00DF7EEA"/>
    <w:rsid w:val="00E005F8"/>
    <w:rsid w:val="00E0060B"/>
    <w:rsid w:val="00E01B24"/>
    <w:rsid w:val="00E02561"/>
    <w:rsid w:val="00E03E62"/>
    <w:rsid w:val="00E06CA3"/>
    <w:rsid w:val="00E11DDB"/>
    <w:rsid w:val="00E14170"/>
    <w:rsid w:val="00E26FA2"/>
    <w:rsid w:val="00E33C99"/>
    <w:rsid w:val="00E34014"/>
    <w:rsid w:val="00E355CA"/>
    <w:rsid w:val="00E364FA"/>
    <w:rsid w:val="00E463D0"/>
    <w:rsid w:val="00E51338"/>
    <w:rsid w:val="00E52B01"/>
    <w:rsid w:val="00E53012"/>
    <w:rsid w:val="00E54912"/>
    <w:rsid w:val="00E64DB7"/>
    <w:rsid w:val="00E67AA7"/>
    <w:rsid w:val="00E72411"/>
    <w:rsid w:val="00E776A3"/>
    <w:rsid w:val="00E857E9"/>
    <w:rsid w:val="00E90009"/>
    <w:rsid w:val="00E913B0"/>
    <w:rsid w:val="00E92B52"/>
    <w:rsid w:val="00E94C61"/>
    <w:rsid w:val="00E96EA3"/>
    <w:rsid w:val="00EA40CD"/>
    <w:rsid w:val="00EA4E4D"/>
    <w:rsid w:val="00EB087A"/>
    <w:rsid w:val="00EB78E5"/>
    <w:rsid w:val="00EC08BF"/>
    <w:rsid w:val="00EC19AD"/>
    <w:rsid w:val="00EC2BA7"/>
    <w:rsid w:val="00EC3686"/>
    <w:rsid w:val="00EC3A47"/>
    <w:rsid w:val="00ED177D"/>
    <w:rsid w:val="00ED53BE"/>
    <w:rsid w:val="00EE4487"/>
    <w:rsid w:val="00EE6073"/>
    <w:rsid w:val="00EE78BA"/>
    <w:rsid w:val="00EF2542"/>
    <w:rsid w:val="00EF25A5"/>
    <w:rsid w:val="00EF3044"/>
    <w:rsid w:val="00EF3AE2"/>
    <w:rsid w:val="00EF3D8E"/>
    <w:rsid w:val="00EF7F3E"/>
    <w:rsid w:val="00F03C02"/>
    <w:rsid w:val="00F04C84"/>
    <w:rsid w:val="00F0531A"/>
    <w:rsid w:val="00F05687"/>
    <w:rsid w:val="00F061C2"/>
    <w:rsid w:val="00F074A9"/>
    <w:rsid w:val="00F10AE3"/>
    <w:rsid w:val="00F12555"/>
    <w:rsid w:val="00F1472F"/>
    <w:rsid w:val="00F1491C"/>
    <w:rsid w:val="00F14E68"/>
    <w:rsid w:val="00F15D45"/>
    <w:rsid w:val="00F27A0E"/>
    <w:rsid w:val="00F31BE8"/>
    <w:rsid w:val="00F31C59"/>
    <w:rsid w:val="00F32C6E"/>
    <w:rsid w:val="00F417DA"/>
    <w:rsid w:val="00F43E7A"/>
    <w:rsid w:val="00F46EFF"/>
    <w:rsid w:val="00F502F1"/>
    <w:rsid w:val="00F5189E"/>
    <w:rsid w:val="00F51E4B"/>
    <w:rsid w:val="00F530B5"/>
    <w:rsid w:val="00F54489"/>
    <w:rsid w:val="00F56E10"/>
    <w:rsid w:val="00F571B3"/>
    <w:rsid w:val="00F57E5B"/>
    <w:rsid w:val="00F6002C"/>
    <w:rsid w:val="00F628A5"/>
    <w:rsid w:val="00F678A8"/>
    <w:rsid w:val="00F71AB9"/>
    <w:rsid w:val="00F73DDE"/>
    <w:rsid w:val="00F86995"/>
    <w:rsid w:val="00F870DF"/>
    <w:rsid w:val="00F905EE"/>
    <w:rsid w:val="00F913CC"/>
    <w:rsid w:val="00F922BC"/>
    <w:rsid w:val="00F9586A"/>
    <w:rsid w:val="00FA41A4"/>
    <w:rsid w:val="00FA4C66"/>
    <w:rsid w:val="00FB108A"/>
    <w:rsid w:val="00FB1100"/>
    <w:rsid w:val="00FB17DB"/>
    <w:rsid w:val="00FB3EF8"/>
    <w:rsid w:val="00FB45E1"/>
    <w:rsid w:val="00FB5A71"/>
    <w:rsid w:val="00FC0808"/>
    <w:rsid w:val="00FC236B"/>
    <w:rsid w:val="00FC7DAE"/>
    <w:rsid w:val="00FD1552"/>
    <w:rsid w:val="00FD20CD"/>
    <w:rsid w:val="00FD2BBA"/>
    <w:rsid w:val="00FE05C1"/>
    <w:rsid w:val="00FE37B7"/>
    <w:rsid w:val="00FE4E01"/>
    <w:rsid w:val="00FE6FCC"/>
    <w:rsid w:val="00FF3444"/>
    <w:rsid w:val="00FF5999"/>
    <w:rsid w:val="00FF59D1"/>
    <w:rsid w:val="00FF7EEE"/>
    <w:rsid w:val="016BC79A"/>
    <w:rsid w:val="036616C2"/>
    <w:rsid w:val="037193A2"/>
    <w:rsid w:val="03E752F8"/>
    <w:rsid w:val="049A953E"/>
    <w:rsid w:val="04BDBFA9"/>
    <w:rsid w:val="0560228D"/>
    <w:rsid w:val="05646C51"/>
    <w:rsid w:val="074E64A8"/>
    <w:rsid w:val="07638602"/>
    <w:rsid w:val="07AFD204"/>
    <w:rsid w:val="07C4D619"/>
    <w:rsid w:val="08EA3509"/>
    <w:rsid w:val="09946292"/>
    <w:rsid w:val="0BCF898D"/>
    <w:rsid w:val="0C63C1D6"/>
    <w:rsid w:val="0D065648"/>
    <w:rsid w:val="0DC96448"/>
    <w:rsid w:val="0E1B54E2"/>
    <w:rsid w:val="0E7A85D9"/>
    <w:rsid w:val="0E86F05F"/>
    <w:rsid w:val="0EEC101B"/>
    <w:rsid w:val="0F0BFB9B"/>
    <w:rsid w:val="0F19677A"/>
    <w:rsid w:val="0F4AF8B5"/>
    <w:rsid w:val="0F5A34E7"/>
    <w:rsid w:val="0F6DCD9E"/>
    <w:rsid w:val="0F9AFDF1"/>
    <w:rsid w:val="106E754A"/>
    <w:rsid w:val="11340BCB"/>
    <w:rsid w:val="1187CFD8"/>
    <w:rsid w:val="120477F5"/>
    <w:rsid w:val="123A70C2"/>
    <w:rsid w:val="1265FD55"/>
    <w:rsid w:val="1410206D"/>
    <w:rsid w:val="1419E0EB"/>
    <w:rsid w:val="14AB5C33"/>
    <w:rsid w:val="1547DABA"/>
    <w:rsid w:val="158A7FB8"/>
    <w:rsid w:val="15B3812B"/>
    <w:rsid w:val="16293952"/>
    <w:rsid w:val="163DC8BC"/>
    <w:rsid w:val="164039D8"/>
    <w:rsid w:val="16978A60"/>
    <w:rsid w:val="16DCBAAF"/>
    <w:rsid w:val="170235B9"/>
    <w:rsid w:val="17758584"/>
    <w:rsid w:val="17B43F52"/>
    <w:rsid w:val="18179FA0"/>
    <w:rsid w:val="185A3E1B"/>
    <w:rsid w:val="1891D0A6"/>
    <w:rsid w:val="1917E1AA"/>
    <w:rsid w:val="1942ED55"/>
    <w:rsid w:val="19BE1998"/>
    <w:rsid w:val="19F143B3"/>
    <w:rsid w:val="1B6E2A3B"/>
    <w:rsid w:val="1BADD8E6"/>
    <w:rsid w:val="1BB16AC6"/>
    <w:rsid w:val="1BC5D253"/>
    <w:rsid w:val="1BDFEBDB"/>
    <w:rsid w:val="1C30FA37"/>
    <w:rsid w:val="1C85A1D0"/>
    <w:rsid w:val="1CB92B17"/>
    <w:rsid w:val="1CE3560E"/>
    <w:rsid w:val="1D61A2B4"/>
    <w:rsid w:val="1EA9616A"/>
    <w:rsid w:val="1F9E207C"/>
    <w:rsid w:val="207ED798"/>
    <w:rsid w:val="20C82F3D"/>
    <w:rsid w:val="219B73C5"/>
    <w:rsid w:val="21CB9970"/>
    <w:rsid w:val="22E94655"/>
    <w:rsid w:val="238620D9"/>
    <w:rsid w:val="23EA9919"/>
    <w:rsid w:val="242512CC"/>
    <w:rsid w:val="24784484"/>
    <w:rsid w:val="24D9B151"/>
    <w:rsid w:val="24F4C653"/>
    <w:rsid w:val="250EFAEF"/>
    <w:rsid w:val="26783334"/>
    <w:rsid w:val="26DCAB74"/>
    <w:rsid w:val="26E3A14C"/>
    <w:rsid w:val="273DC9B5"/>
    <w:rsid w:val="283302FA"/>
    <w:rsid w:val="2851D747"/>
    <w:rsid w:val="28593849"/>
    <w:rsid w:val="28BC176A"/>
    <w:rsid w:val="2917A099"/>
    <w:rsid w:val="297EEB64"/>
    <w:rsid w:val="2A141FCC"/>
    <w:rsid w:val="2A70A51A"/>
    <w:rsid w:val="2AF037CE"/>
    <w:rsid w:val="2B282D5E"/>
    <w:rsid w:val="2B43E9A2"/>
    <w:rsid w:val="2CE67899"/>
    <w:rsid w:val="2D35B9F3"/>
    <w:rsid w:val="2D431D68"/>
    <w:rsid w:val="2DA33C51"/>
    <w:rsid w:val="2DB3E3AF"/>
    <w:rsid w:val="2E9E770E"/>
    <w:rsid w:val="2EC04F7D"/>
    <w:rsid w:val="2F11FEBB"/>
    <w:rsid w:val="2F219F94"/>
    <w:rsid w:val="2FA5DB91"/>
    <w:rsid w:val="2FF0EF6F"/>
    <w:rsid w:val="2FFB9E81"/>
    <w:rsid w:val="303E5513"/>
    <w:rsid w:val="30EE0FD3"/>
    <w:rsid w:val="3177EBFE"/>
    <w:rsid w:val="31976EE2"/>
    <w:rsid w:val="31D90666"/>
    <w:rsid w:val="33C08B51"/>
    <w:rsid w:val="349579F7"/>
    <w:rsid w:val="34C3FAF0"/>
    <w:rsid w:val="35B560FE"/>
    <w:rsid w:val="36889582"/>
    <w:rsid w:val="3778342D"/>
    <w:rsid w:val="37B8FD37"/>
    <w:rsid w:val="37D041E7"/>
    <w:rsid w:val="38D138AE"/>
    <w:rsid w:val="397F0893"/>
    <w:rsid w:val="3A1C7BD1"/>
    <w:rsid w:val="3AC79B8B"/>
    <w:rsid w:val="3B245916"/>
    <w:rsid w:val="3C69F7B1"/>
    <w:rsid w:val="3D14A5D4"/>
    <w:rsid w:val="3D1F7AC1"/>
    <w:rsid w:val="3DA74A86"/>
    <w:rsid w:val="3EC04042"/>
    <w:rsid w:val="3F041845"/>
    <w:rsid w:val="3F1CFDCD"/>
    <w:rsid w:val="3F404DC8"/>
    <w:rsid w:val="40353944"/>
    <w:rsid w:val="41C90828"/>
    <w:rsid w:val="433F77DD"/>
    <w:rsid w:val="457C7ACC"/>
    <w:rsid w:val="45BFCE04"/>
    <w:rsid w:val="4661F1BD"/>
    <w:rsid w:val="46C6C938"/>
    <w:rsid w:val="46D836E0"/>
    <w:rsid w:val="470C579F"/>
    <w:rsid w:val="495B9795"/>
    <w:rsid w:val="4A2EC17B"/>
    <w:rsid w:val="4AB8F1CF"/>
    <w:rsid w:val="4BC1DC00"/>
    <w:rsid w:val="4BEBBC50"/>
    <w:rsid w:val="4C551B0C"/>
    <w:rsid w:val="4D95BD9F"/>
    <w:rsid w:val="4DC28850"/>
    <w:rsid w:val="4EAAFD2F"/>
    <w:rsid w:val="4EDE9A7C"/>
    <w:rsid w:val="502B27FB"/>
    <w:rsid w:val="507B6574"/>
    <w:rsid w:val="5087CFFA"/>
    <w:rsid w:val="51596319"/>
    <w:rsid w:val="5252CBFA"/>
    <w:rsid w:val="534D17A4"/>
    <w:rsid w:val="543822C8"/>
    <w:rsid w:val="5440BD52"/>
    <w:rsid w:val="559D42B4"/>
    <w:rsid w:val="560E78CB"/>
    <w:rsid w:val="56FF7937"/>
    <w:rsid w:val="5712A158"/>
    <w:rsid w:val="57D837D9"/>
    <w:rsid w:val="582231EA"/>
    <w:rsid w:val="589769E0"/>
    <w:rsid w:val="59043ED8"/>
    <w:rsid w:val="5A35F35C"/>
    <w:rsid w:val="5AE8DA5A"/>
    <w:rsid w:val="5AF747B6"/>
    <w:rsid w:val="5B0B133E"/>
    <w:rsid w:val="5B3C3EA5"/>
    <w:rsid w:val="5BF65133"/>
    <w:rsid w:val="5CD11E9A"/>
    <w:rsid w:val="5CD9AFF2"/>
    <w:rsid w:val="5CE1F4CA"/>
    <w:rsid w:val="5D40C01F"/>
    <w:rsid w:val="5D5137B9"/>
    <w:rsid w:val="5DA32A95"/>
    <w:rsid w:val="5EBBCBAE"/>
    <w:rsid w:val="5FACBAA1"/>
    <w:rsid w:val="5FF0FB10"/>
    <w:rsid w:val="60953CF0"/>
    <w:rsid w:val="616D57DA"/>
    <w:rsid w:val="61D93735"/>
    <w:rsid w:val="626F13D4"/>
    <w:rsid w:val="62D3D376"/>
    <w:rsid w:val="63211C92"/>
    <w:rsid w:val="63F3383B"/>
    <w:rsid w:val="654D8D78"/>
    <w:rsid w:val="65762A44"/>
    <w:rsid w:val="6594BCCB"/>
    <w:rsid w:val="65F6A45A"/>
    <w:rsid w:val="66424C8A"/>
    <w:rsid w:val="666769DB"/>
    <w:rsid w:val="678D0565"/>
    <w:rsid w:val="67D0F59D"/>
    <w:rsid w:val="683F9FD3"/>
    <w:rsid w:val="687D7385"/>
    <w:rsid w:val="6980DDB8"/>
    <w:rsid w:val="6A188C4B"/>
    <w:rsid w:val="6A56F0B6"/>
    <w:rsid w:val="6AC93EDA"/>
    <w:rsid w:val="6C081EDF"/>
    <w:rsid w:val="6C917D87"/>
    <w:rsid w:val="6CDA2ADA"/>
    <w:rsid w:val="6CF6B7CE"/>
    <w:rsid w:val="6D1C5F42"/>
    <w:rsid w:val="6D306D9F"/>
    <w:rsid w:val="6D7F1F56"/>
    <w:rsid w:val="6DF92B4E"/>
    <w:rsid w:val="6F1423E0"/>
    <w:rsid w:val="6F4B4E88"/>
    <w:rsid w:val="7067A8BF"/>
    <w:rsid w:val="71045F9F"/>
    <w:rsid w:val="7114D128"/>
    <w:rsid w:val="711F311F"/>
    <w:rsid w:val="712D6143"/>
    <w:rsid w:val="7195F340"/>
    <w:rsid w:val="71AFAAC2"/>
    <w:rsid w:val="73CE12F3"/>
    <w:rsid w:val="74AD902B"/>
    <w:rsid w:val="75C5CBA2"/>
    <w:rsid w:val="76A360FC"/>
    <w:rsid w:val="76A52DE9"/>
    <w:rsid w:val="770B435B"/>
    <w:rsid w:val="7782B0EB"/>
    <w:rsid w:val="77EAF8D0"/>
    <w:rsid w:val="7878D1BE"/>
    <w:rsid w:val="78950E9C"/>
    <w:rsid w:val="78995C19"/>
    <w:rsid w:val="78A2FA95"/>
    <w:rsid w:val="79344FAA"/>
    <w:rsid w:val="7A64B75F"/>
    <w:rsid w:val="7AEC7452"/>
    <w:rsid w:val="7B55FB86"/>
    <w:rsid w:val="7C5F8159"/>
    <w:rsid w:val="7CC777DE"/>
    <w:rsid w:val="7E5D2945"/>
    <w:rsid w:val="7ECCECEA"/>
    <w:rsid w:val="7ED672C9"/>
    <w:rsid w:val="7F7564B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7CF3E"/>
  <w15:chartTrackingRefBased/>
  <w15:docId w15:val="{3CDBD86C-9798-43CF-A093-D9AB49A8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C6E"/>
    <w:rPr>
      <w:rFonts w:ascii="Arial" w:hAnsi="Arial" w:cs="Arial"/>
      <w:sz w:val="20"/>
      <w:szCs w:val="20"/>
    </w:rPr>
  </w:style>
  <w:style w:type="paragraph" w:styleId="Overskrift1">
    <w:name w:val="heading 1"/>
    <w:basedOn w:val="Overskrift2"/>
    <w:next w:val="Normal"/>
    <w:link w:val="Overskrift1Tegn"/>
    <w:uiPriority w:val="9"/>
    <w:qFormat/>
    <w:rsid w:val="005E1F23"/>
    <w:pPr>
      <w:outlineLvl w:val="0"/>
    </w:pPr>
    <w:rPr>
      <w:b/>
      <w:bCs/>
      <w:i w:val="0"/>
      <w:iCs w:val="0"/>
      <w:sz w:val="28"/>
      <w:szCs w:val="28"/>
    </w:rPr>
  </w:style>
  <w:style w:type="paragraph" w:styleId="Overskrift2">
    <w:name w:val="heading 2"/>
    <w:basedOn w:val="Normal"/>
    <w:next w:val="Normal"/>
    <w:link w:val="Overskrift2Tegn"/>
    <w:uiPriority w:val="9"/>
    <w:unhideWhenUsed/>
    <w:qFormat/>
    <w:rsid w:val="005E1F23"/>
    <w:pPr>
      <w:keepNext/>
      <w:keepLines/>
      <w:spacing w:before="40" w:after="0"/>
      <w:outlineLvl w:val="1"/>
    </w:pPr>
    <w:rPr>
      <w:rFonts w:eastAsiaTheme="majorEastAsia" w:cstheme="majorBidi"/>
      <w:i/>
      <w:iCs/>
      <w:color w:val="222C59"/>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128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12826"/>
  </w:style>
  <w:style w:type="paragraph" w:styleId="Sidefod">
    <w:name w:val="footer"/>
    <w:basedOn w:val="Normal"/>
    <w:link w:val="SidefodTegn"/>
    <w:uiPriority w:val="99"/>
    <w:unhideWhenUsed/>
    <w:rsid w:val="0061282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12826"/>
  </w:style>
  <w:style w:type="paragraph" w:styleId="Listeafsnit">
    <w:name w:val="List Paragraph"/>
    <w:basedOn w:val="Normal"/>
    <w:uiPriority w:val="34"/>
    <w:qFormat/>
    <w:rsid w:val="00612826"/>
    <w:pPr>
      <w:ind w:left="720"/>
      <w:contextualSpacing/>
    </w:pPr>
  </w:style>
  <w:style w:type="paragraph" w:styleId="Markeringsbobletekst">
    <w:name w:val="Balloon Text"/>
    <w:basedOn w:val="Normal"/>
    <w:link w:val="MarkeringsbobletekstTegn"/>
    <w:uiPriority w:val="99"/>
    <w:semiHidden/>
    <w:unhideWhenUsed/>
    <w:rsid w:val="00536A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36A9A"/>
    <w:rPr>
      <w:rFonts w:ascii="Segoe UI" w:hAnsi="Segoe UI" w:cs="Segoe UI"/>
      <w:sz w:val="18"/>
      <w:szCs w:val="18"/>
    </w:rPr>
  </w:style>
  <w:style w:type="character" w:styleId="Hyperlink">
    <w:name w:val="Hyperlink"/>
    <w:basedOn w:val="Standardskrifttypeiafsnit"/>
    <w:uiPriority w:val="99"/>
    <w:unhideWhenUsed/>
    <w:rsid w:val="005769C8"/>
    <w:rPr>
      <w:color w:val="0563C1" w:themeColor="hyperlink"/>
      <w:u w:val="single"/>
    </w:rPr>
  </w:style>
  <w:style w:type="character" w:customStyle="1" w:styleId="UnresolvedMention">
    <w:name w:val="Unresolved Mention"/>
    <w:basedOn w:val="Standardskrifttypeiafsnit"/>
    <w:uiPriority w:val="99"/>
    <w:semiHidden/>
    <w:unhideWhenUsed/>
    <w:rsid w:val="005769C8"/>
    <w:rPr>
      <w:color w:val="605E5C"/>
      <w:shd w:val="clear" w:color="auto" w:fill="E1DFDD"/>
    </w:rPr>
  </w:style>
  <w:style w:type="paragraph" w:styleId="NormalWeb">
    <w:name w:val="Normal (Web)"/>
    <w:basedOn w:val="Normal"/>
    <w:uiPriority w:val="99"/>
    <w:unhideWhenUsed/>
    <w:rsid w:val="00101D6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F628A5"/>
    <w:rPr>
      <w:color w:val="954F72" w:themeColor="followedHyperlink"/>
      <w:u w:val="single"/>
    </w:rPr>
  </w:style>
  <w:style w:type="paragraph" w:styleId="Kommentartekst">
    <w:name w:val="annotation text"/>
    <w:basedOn w:val="Normal"/>
    <w:link w:val="KommentartekstTegn"/>
    <w:uiPriority w:val="99"/>
    <w:unhideWhenUsed/>
    <w:pPr>
      <w:spacing w:line="240" w:lineRule="auto"/>
    </w:p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table" w:styleId="Tabel-Gitter">
    <w:name w:val="Table Grid"/>
    <w:basedOn w:val="Tabel-Normal"/>
    <w:uiPriority w:val="39"/>
    <w:rsid w:val="0035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030FAB"/>
    <w:rPr>
      <w:b/>
      <w:bCs/>
    </w:rPr>
  </w:style>
  <w:style w:type="character" w:customStyle="1" w:styleId="KommentaremneTegn">
    <w:name w:val="Kommentaremne Tegn"/>
    <w:basedOn w:val="KommentartekstTegn"/>
    <w:link w:val="Kommentaremne"/>
    <w:uiPriority w:val="99"/>
    <w:semiHidden/>
    <w:rsid w:val="00030FAB"/>
    <w:rPr>
      <w:b/>
      <w:bCs/>
      <w:sz w:val="20"/>
      <w:szCs w:val="20"/>
    </w:rPr>
  </w:style>
  <w:style w:type="character" w:customStyle="1" w:styleId="Overskrift2Tegn">
    <w:name w:val="Overskrift 2 Tegn"/>
    <w:basedOn w:val="Standardskrifttypeiafsnit"/>
    <w:link w:val="Overskrift2"/>
    <w:uiPriority w:val="9"/>
    <w:rsid w:val="005E1F23"/>
    <w:rPr>
      <w:rFonts w:ascii="Corbel" w:eastAsiaTheme="majorEastAsia" w:hAnsi="Corbel" w:cstheme="majorBidi"/>
      <w:i/>
      <w:iCs/>
      <w:color w:val="222C59"/>
      <w:sz w:val="24"/>
      <w:szCs w:val="24"/>
    </w:rPr>
  </w:style>
  <w:style w:type="character" w:customStyle="1" w:styleId="Overskrift1Tegn">
    <w:name w:val="Overskrift 1 Tegn"/>
    <w:basedOn w:val="Standardskrifttypeiafsnit"/>
    <w:link w:val="Overskrift1"/>
    <w:uiPriority w:val="9"/>
    <w:rsid w:val="005E1F23"/>
    <w:rPr>
      <w:rFonts w:ascii="Corbel" w:eastAsiaTheme="majorEastAsia" w:hAnsi="Corbel" w:cstheme="majorBidi"/>
      <w:b/>
      <w:bCs/>
      <w:color w:val="222C59"/>
      <w:sz w:val="28"/>
      <w:szCs w:val="28"/>
    </w:rPr>
  </w:style>
  <w:style w:type="paragraph" w:styleId="Titel">
    <w:name w:val="Title"/>
    <w:basedOn w:val="Normal"/>
    <w:next w:val="Normal"/>
    <w:link w:val="TitelTegn"/>
    <w:uiPriority w:val="10"/>
    <w:qFormat/>
    <w:rsid w:val="00F32C6E"/>
    <w:pPr>
      <w:spacing w:after="0" w:line="240" w:lineRule="auto"/>
      <w:contextualSpacing/>
    </w:pPr>
    <w:rPr>
      <w:rFonts w:ascii="Arial Black" w:eastAsiaTheme="majorEastAsia" w:hAnsi="Arial Black" w:cstheme="majorBidi"/>
      <w:color w:val="222C59"/>
      <w:spacing w:val="-10"/>
      <w:kern w:val="28"/>
      <w:sz w:val="44"/>
      <w:szCs w:val="44"/>
    </w:rPr>
  </w:style>
  <w:style w:type="character" w:customStyle="1" w:styleId="TitelTegn">
    <w:name w:val="Titel Tegn"/>
    <w:basedOn w:val="Standardskrifttypeiafsnit"/>
    <w:link w:val="Titel"/>
    <w:uiPriority w:val="10"/>
    <w:rsid w:val="00F32C6E"/>
    <w:rPr>
      <w:rFonts w:ascii="Arial Black" w:eastAsiaTheme="majorEastAsia" w:hAnsi="Arial Black" w:cstheme="majorBidi"/>
      <w:color w:val="222C59"/>
      <w:spacing w:val="-10"/>
      <w:kern w:val="28"/>
      <w:sz w:val="44"/>
      <w:szCs w:val="44"/>
    </w:rPr>
  </w:style>
  <w:style w:type="paragraph" w:customStyle="1" w:styleId="xmsonormal">
    <w:name w:val="x_msonormal"/>
    <w:basedOn w:val="Normal"/>
    <w:rsid w:val="009F409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xmsolistparagraph">
    <w:name w:val="x_msolistparagraph"/>
    <w:basedOn w:val="Normal"/>
    <w:rsid w:val="009F409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rrektur">
    <w:name w:val="Revision"/>
    <w:hidden/>
    <w:uiPriority w:val="99"/>
    <w:semiHidden/>
    <w:rsid w:val="00603BE1"/>
    <w:pPr>
      <w:spacing w:after="0" w:line="240" w:lineRule="auto"/>
    </w:pPr>
    <w:rPr>
      <w:rFonts w:ascii="Arial" w:hAnsi="Arial" w:cs="Arial"/>
      <w:sz w:val="20"/>
      <w:szCs w:val="20"/>
    </w:rPr>
  </w:style>
  <w:style w:type="character" w:styleId="Strk">
    <w:name w:val="Strong"/>
    <w:basedOn w:val="Standardskrifttypeiafsnit"/>
    <w:uiPriority w:val="22"/>
    <w:qFormat/>
    <w:rsid w:val="00542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9280">
      <w:bodyDiv w:val="1"/>
      <w:marLeft w:val="0"/>
      <w:marRight w:val="0"/>
      <w:marTop w:val="0"/>
      <w:marBottom w:val="0"/>
      <w:divBdr>
        <w:top w:val="none" w:sz="0" w:space="0" w:color="auto"/>
        <w:left w:val="none" w:sz="0" w:space="0" w:color="auto"/>
        <w:bottom w:val="none" w:sz="0" w:space="0" w:color="auto"/>
        <w:right w:val="none" w:sz="0" w:space="0" w:color="auto"/>
      </w:divBdr>
      <w:divsChild>
        <w:div w:id="316492670">
          <w:marLeft w:val="446"/>
          <w:marRight w:val="0"/>
          <w:marTop w:val="20"/>
          <w:marBottom w:val="0"/>
          <w:divBdr>
            <w:top w:val="none" w:sz="0" w:space="0" w:color="auto"/>
            <w:left w:val="none" w:sz="0" w:space="0" w:color="auto"/>
            <w:bottom w:val="none" w:sz="0" w:space="0" w:color="auto"/>
            <w:right w:val="none" w:sz="0" w:space="0" w:color="auto"/>
          </w:divBdr>
        </w:div>
        <w:div w:id="1026059605">
          <w:marLeft w:val="446"/>
          <w:marRight w:val="0"/>
          <w:marTop w:val="20"/>
          <w:marBottom w:val="0"/>
          <w:divBdr>
            <w:top w:val="none" w:sz="0" w:space="0" w:color="auto"/>
            <w:left w:val="none" w:sz="0" w:space="0" w:color="auto"/>
            <w:bottom w:val="none" w:sz="0" w:space="0" w:color="auto"/>
            <w:right w:val="none" w:sz="0" w:space="0" w:color="auto"/>
          </w:divBdr>
        </w:div>
        <w:div w:id="1865559736">
          <w:marLeft w:val="446"/>
          <w:marRight w:val="0"/>
          <w:marTop w:val="20"/>
          <w:marBottom w:val="0"/>
          <w:divBdr>
            <w:top w:val="none" w:sz="0" w:space="0" w:color="auto"/>
            <w:left w:val="none" w:sz="0" w:space="0" w:color="auto"/>
            <w:bottom w:val="none" w:sz="0" w:space="0" w:color="auto"/>
            <w:right w:val="none" w:sz="0" w:space="0" w:color="auto"/>
          </w:divBdr>
        </w:div>
      </w:divsChild>
    </w:div>
    <w:div w:id="98913014">
      <w:bodyDiv w:val="1"/>
      <w:marLeft w:val="0"/>
      <w:marRight w:val="0"/>
      <w:marTop w:val="0"/>
      <w:marBottom w:val="0"/>
      <w:divBdr>
        <w:top w:val="none" w:sz="0" w:space="0" w:color="auto"/>
        <w:left w:val="none" w:sz="0" w:space="0" w:color="auto"/>
        <w:bottom w:val="none" w:sz="0" w:space="0" w:color="auto"/>
        <w:right w:val="none" w:sz="0" w:space="0" w:color="auto"/>
      </w:divBdr>
    </w:div>
    <w:div w:id="195431017">
      <w:bodyDiv w:val="1"/>
      <w:marLeft w:val="0"/>
      <w:marRight w:val="0"/>
      <w:marTop w:val="0"/>
      <w:marBottom w:val="0"/>
      <w:divBdr>
        <w:top w:val="none" w:sz="0" w:space="0" w:color="auto"/>
        <w:left w:val="none" w:sz="0" w:space="0" w:color="auto"/>
        <w:bottom w:val="none" w:sz="0" w:space="0" w:color="auto"/>
        <w:right w:val="none" w:sz="0" w:space="0" w:color="auto"/>
      </w:divBdr>
      <w:divsChild>
        <w:div w:id="693044571">
          <w:marLeft w:val="0"/>
          <w:marRight w:val="0"/>
          <w:marTop w:val="0"/>
          <w:marBottom w:val="300"/>
          <w:divBdr>
            <w:top w:val="none" w:sz="0" w:space="0" w:color="auto"/>
            <w:left w:val="none" w:sz="0" w:space="0" w:color="auto"/>
            <w:bottom w:val="none" w:sz="0" w:space="0" w:color="auto"/>
            <w:right w:val="none" w:sz="0" w:space="0" w:color="auto"/>
          </w:divBdr>
        </w:div>
      </w:divsChild>
    </w:div>
    <w:div w:id="233777782">
      <w:bodyDiv w:val="1"/>
      <w:marLeft w:val="0"/>
      <w:marRight w:val="0"/>
      <w:marTop w:val="0"/>
      <w:marBottom w:val="0"/>
      <w:divBdr>
        <w:top w:val="none" w:sz="0" w:space="0" w:color="auto"/>
        <w:left w:val="none" w:sz="0" w:space="0" w:color="auto"/>
        <w:bottom w:val="none" w:sz="0" w:space="0" w:color="auto"/>
        <w:right w:val="none" w:sz="0" w:space="0" w:color="auto"/>
      </w:divBdr>
    </w:div>
    <w:div w:id="335226178">
      <w:bodyDiv w:val="1"/>
      <w:marLeft w:val="0"/>
      <w:marRight w:val="0"/>
      <w:marTop w:val="0"/>
      <w:marBottom w:val="0"/>
      <w:divBdr>
        <w:top w:val="none" w:sz="0" w:space="0" w:color="auto"/>
        <w:left w:val="none" w:sz="0" w:space="0" w:color="auto"/>
        <w:bottom w:val="none" w:sz="0" w:space="0" w:color="auto"/>
        <w:right w:val="none" w:sz="0" w:space="0" w:color="auto"/>
      </w:divBdr>
    </w:div>
    <w:div w:id="382800550">
      <w:bodyDiv w:val="1"/>
      <w:marLeft w:val="0"/>
      <w:marRight w:val="0"/>
      <w:marTop w:val="0"/>
      <w:marBottom w:val="0"/>
      <w:divBdr>
        <w:top w:val="none" w:sz="0" w:space="0" w:color="auto"/>
        <w:left w:val="none" w:sz="0" w:space="0" w:color="auto"/>
        <w:bottom w:val="none" w:sz="0" w:space="0" w:color="auto"/>
        <w:right w:val="none" w:sz="0" w:space="0" w:color="auto"/>
      </w:divBdr>
    </w:div>
    <w:div w:id="407381233">
      <w:bodyDiv w:val="1"/>
      <w:marLeft w:val="0"/>
      <w:marRight w:val="0"/>
      <w:marTop w:val="0"/>
      <w:marBottom w:val="0"/>
      <w:divBdr>
        <w:top w:val="none" w:sz="0" w:space="0" w:color="auto"/>
        <w:left w:val="none" w:sz="0" w:space="0" w:color="auto"/>
        <w:bottom w:val="none" w:sz="0" w:space="0" w:color="auto"/>
        <w:right w:val="none" w:sz="0" w:space="0" w:color="auto"/>
      </w:divBdr>
    </w:div>
    <w:div w:id="427234449">
      <w:bodyDiv w:val="1"/>
      <w:marLeft w:val="0"/>
      <w:marRight w:val="0"/>
      <w:marTop w:val="0"/>
      <w:marBottom w:val="0"/>
      <w:divBdr>
        <w:top w:val="none" w:sz="0" w:space="0" w:color="auto"/>
        <w:left w:val="none" w:sz="0" w:space="0" w:color="auto"/>
        <w:bottom w:val="none" w:sz="0" w:space="0" w:color="auto"/>
        <w:right w:val="none" w:sz="0" w:space="0" w:color="auto"/>
      </w:divBdr>
    </w:div>
    <w:div w:id="506359743">
      <w:bodyDiv w:val="1"/>
      <w:marLeft w:val="0"/>
      <w:marRight w:val="0"/>
      <w:marTop w:val="0"/>
      <w:marBottom w:val="0"/>
      <w:divBdr>
        <w:top w:val="none" w:sz="0" w:space="0" w:color="auto"/>
        <w:left w:val="none" w:sz="0" w:space="0" w:color="auto"/>
        <w:bottom w:val="none" w:sz="0" w:space="0" w:color="auto"/>
        <w:right w:val="none" w:sz="0" w:space="0" w:color="auto"/>
      </w:divBdr>
    </w:div>
    <w:div w:id="508758828">
      <w:bodyDiv w:val="1"/>
      <w:marLeft w:val="0"/>
      <w:marRight w:val="0"/>
      <w:marTop w:val="0"/>
      <w:marBottom w:val="0"/>
      <w:divBdr>
        <w:top w:val="none" w:sz="0" w:space="0" w:color="auto"/>
        <w:left w:val="none" w:sz="0" w:space="0" w:color="auto"/>
        <w:bottom w:val="none" w:sz="0" w:space="0" w:color="auto"/>
        <w:right w:val="none" w:sz="0" w:space="0" w:color="auto"/>
      </w:divBdr>
      <w:divsChild>
        <w:div w:id="1823698993">
          <w:marLeft w:val="0"/>
          <w:marRight w:val="0"/>
          <w:marTop w:val="0"/>
          <w:marBottom w:val="300"/>
          <w:divBdr>
            <w:top w:val="none" w:sz="0" w:space="0" w:color="auto"/>
            <w:left w:val="none" w:sz="0" w:space="0" w:color="auto"/>
            <w:bottom w:val="none" w:sz="0" w:space="0" w:color="auto"/>
            <w:right w:val="none" w:sz="0" w:space="0" w:color="auto"/>
          </w:divBdr>
        </w:div>
      </w:divsChild>
    </w:div>
    <w:div w:id="509099210">
      <w:bodyDiv w:val="1"/>
      <w:marLeft w:val="0"/>
      <w:marRight w:val="0"/>
      <w:marTop w:val="0"/>
      <w:marBottom w:val="0"/>
      <w:divBdr>
        <w:top w:val="none" w:sz="0" w:space="0" w:color="auto"/>
        <w:left w:val="none" w:sz="0" w:space="0" w:color="auto"/>
        <w:bottom w:val="none" w:sz="0" w:space="0" w:color="auto"/>
        <w:right w:val="none" w:sz="0" w:space="0" w:color="auto"/>
      </w:divBdr>
    </w:div>
    <w:div w:id="512186939">
      <w:bodyDiv w:val="1"/>
      <w:marLeft w:val="0"/>
      <w:marRight w:val="0"/>
      <w:marTop w:val="0"/>
      <w:marBottom w:val="0"/>
      <w:divBdr>
        <w:top w:val="none" w:sz="0" w:space="0" w:color="auto"/>
        <w:left w:val="none" w:sz="0" w:space="0" w:color="auto"/>
        <w:bottom w:val="none" w:sz="0" w:space="0" w:color="auto"/>
        <w:right w:val="none" w:sz="0" w:space="0" w:color="auto"/>
      </w:divBdr>
    </w:div>
    <w:div w:id="514922227">
      <w:bodyDiv w:val="1"/>
      <w:marLeft w:val="0"/>
      <w:marRight w:val="0"/>
      <w:marTop w:val="0"/>
      <w:marBottom w:val="0"/>
      <w:divBdr>
        <w:top w:val="none" w:sz="0" w:space="0" w:color="auto"/>
        <w:left w:val="none" w:sz="0" w:space="0" w:color="auto"/>
        <w:bottom w:val="none" w:sz="0" w:space="0" w:color="auto"/>
        <w:right w:val="none" w:sz="0" w:space="0" w:color="auto"/>
      </w:divBdr>
    </w:div>
    <w:div w:id="529416710">
      <w:bodyDiv w:val="1"/>
      <w:marLeft w:val="0"/>
      <w:marRight w:val="0"/>
      <w:marTop w:val="0"/>
      <w:marBottom w:val="0"/>
      <w:divBdr>
        <w:top w:val="none" w:sz="0" w:space="0" w:color="auto"/>
        <w:left w:val="none" w:sz="0" w:space="0" w:color="auto"/>
        <w:bottom w:val="none" w:sz="0" w:space="0" w:color="auto"/>
        <w:right w:val="none" w:sz="0" w:space="0" w:color="auto"/>
      </w:divBdr>
    </w:div>
    <w:div w:id="551816542">
      <w:bodyDiv w:val="1"/>
      <w:marLeft w:val="0"/>
      <w:marRight w:val="0"/>
      <w:marTop w:val="0"/>
      <w:marBottom w:val="0"/>
      <w:divBdr>
        <w:top w:val="none" w:sz="0" w:space="0" w:color="auto"/>
        <w:left w:val="none" w:sz="0" w:space="0" w:color="auto"/>
        <w:bottom w:val="none" w:sz="0" w:space="0" w:color="auto"/>
        <w:right w:val="none" w:sz="0" w:space="0" w:color="auto"/>
      </w:divBdr>
      <w:divsChild>
        <w:div w:id="138621035">
          <w:marLeft w:val="274"/>
          <w:marRight w:val="0"/>
          <w:marTop w:val="0"/>
          <w:marBottom w:val="0"/>
          <w:divBdr>
            <w:top w:val="none" w:sz="0" w:space="0" w:color="auto"/>
            <w:left w:val="none" w:sz="0" w:space="0" w:color="auto"/>
            <w:bottom w:val="none" w:sz="0" w:space="0" w:color="auto"/>
            <w:right w:val="none" w:sz="0" w:space="0" w:color="auto"/>
          </w:divBdr>
        </w:div>
        <w:div w:id="492720907">
          <w:marLeft w:val="274"/>
          <w:marRight w:val="0"/>
          <w:marTop w:val="0"/>
          <w:marBottom w:val="0"/>
          <w:divBdr>
            <w:top w:val="none" w:sz="0" w:space="0" w:color="auto"/>
            <w:left w:val="none" w:sz="0" w:space="0" w:color="auto"/>
            <w:bottom w:val="none" w:sz="0" w:space="0" w:color="auto"/>
            <w:right w:val="none" w:sz="0" w:space="0" w:color="auto"/>
          </w:divBdr>
        </w:div>
        <w:div w:id="761486270">
          <w:marLeft w:val="274"/>
          <w:marRight w:val="0"/>
          <w:marTop w:val="0"/>
          <w:marBottom w:val="0"/>
          <w:divBdr>
            <w:top w:val="none" w:sz="0" w:space="0" w:color="auto"/>
            <w:left w:val="none" w:sz="0" w:space="0" w:color="auto"/>
            <w:bottom w:val="none" w:sz="0" w:space="0" w:color="auto"/>
            <w:right w:val="none" w:sz="0" w:space="0" w:color="auto"/>
          </w:divBdr>
        </w:div>
        <w:div w:id="967007156">
          <w:marLeft w:val="274"/>
          <w:marRight w:val="0"/>
          <w:marTop w:val="0"/>
          <w:marBottom w:val="0"/>
          <w:divBdr>
            <w:top w:val="none" w:sz="0" w:space="0" w:color="auto"/>
            <w:left w:val="none" w:sz="0" w:space="0" w:color="auto"/>
            <w:bottom w:val="none" w:sz="0" w:space="0" w:color="auto"/>
            <w:right w:val="none" w:sz="0" w:space="0" w:color="auto"/>
          </w:divBdr>
        </w:div>
        <w:div w:id="1242182954">
          <w:marLeft w:val="274"/>
          <w:marRight w:val="0"/>
          <w:marTop w:val="0"/>
          <w:marBottom w:val="0"/>
          <w:divBdr>
            <w:top w:val="none" w:sz="0" w:space="0" w:color="auto"/>
            <w:left w:val="none" w:sz="0" w:space="0" w:color="auto"/>
            <w:bottom w:val="none" w:sz="0" w:space="0" w:color="auto"/>
            <w:right w:val="none" w:sz="0" w:space="0" w:color="auto"/>
          </w:divBdr>
        </w:div>
        <w:div w:id="1325014143">
          <w:marLeft w:val="274"/>
          <w:marRight w:val="0"/>
          <w:marTop w:val="0"/>
          <w:marBottom w:val="0"/>
          <w:divBdr>
            <w:top w:val="none" w:sz="0" w:space="0" w:color="auto"/>
            <w:left w:val="none" w:sz="0" w:space="0" w:color="auto"/>
            <w:bottom w:val="none" w:sz="0" w:space="0" w:color="auto"/>
            <w:right w:val="none" w:sz="0" w:space="0" w:color="auto"/>
          </w:divBdr>
        </w:div>
        <w:div w:id="1413509358">
          <w:marLeft w:val="274"/>
          <w:marRight w:val="0"/>
          <w:marTop w:val="0"/>
          <w:marBottom w:val="0"/>
          <w:divBdr>
            <w:top w:val="none" w:sz="0" w:space="0" w:color="auto"/>
            <w:left w:val="none" w:sz="0" w:space="0" w:color="auto"/>
            <w:bottom w:val="none" w:sz="0" w:space="0" w:color="auto"/>
            <w:right w:val="none" w:sz="0" w:space="0" w:color="auto"/>
          </w:divBdr>
        </w:div>
        <w:div w:id="1820996714">
          <w:marLeft w:val="274"/>
          <w:marRight w:val="0"/>
          <w:marTop w:val="0"/>
          <w:marBottom w:val="0"/>
          <w:divBdr>
            <w:top w:val="none" w:sz="0" w:space="0" w:color="auto"/>
            <w:left w:val="none" w:sz="0" w:space="0" w:color="auto"/>
            <w:bottom w:val="none" w:sz="0" w:space="0" w:color="auto"/>
            <w:right w:val="none" w:sz="0" w:space="0" w:color="auto"/>
          </w:divBdr>
        </w:div>
      </w:divsChild>
    </w:div>
    <w:div w:id="560599570">
      <w:bodyDiv w:val="1"/>
      <w:marLeft w:val="0"/>
      <w:marRight w:val="0"/>
      <w:marTop w:val="0"/>
      <w:marBottom w:val="0"/>
      <w:divBdr>
        <w:top w:val="none" w:sz="0" w:space="0" w:color="auto"/>
        <w:left w:val="none" w:sz="0" w:space="0" w:color="auto"/>
        <w:bottom w:val="none" w:sz="0" w:space="0" w:color="auto"/>
        <w:right w:val="none" w:sz="0" w:space="0" w:color="auto"/>
      </w:divBdr>
      <w:divsChild>
        <w:div w:id="442724791">
          <w:marLeft w:val="446"/>
          <w:marRight w:val="0"/>
          <w:marTop w:val="20"/>
          <w:marBottom w:val="0"/>
          <w:divBdr>
            <w:top w:val="none" w:sz="0" w:space="0" w:color="auto"/>
            <w:left w:val="none" w:sz="0" w:space="0" w:color="auto"/>
            <w:bottom w:val="none" w:sz="0" w:space="0" w:color="auto"/>
            <w:right w:val="none" w:sz="0" w:space="0" w:color="auto"/>
          </w:divBdr>
        </w:div>
      </w:divsChild>
    </w:div>
    <w:div w:id="679553601">
      <w:bodyDiv w:val="1"/>
      <w:marLeft w:val="0"/>
      <w:marRight w:val="0"/>
      <w:marTop w:val="0"/>
      <w:marBottom w:val="0"/>
      <w:divBdr>
        <w:top w:val="none" w:sz="0" w:space="0" w:color="auto"/>
        <w:left w:val="none" w:sz="0" w:space="0" w:color="auto"/>
        <w:bottom w:val="none" w:sz="0" w:space="0" w:color="auto"/>
        <w:right w:val="none" w:sz="0" w:space="0" w:color="auto"/>
      </w:divBdr>
    </w:div>
    <w:div w:id="932083088">
      <w:bodyDiv w:val="1"/>
      <w:marLeft w:val="0"/>
      <w:marRight w:val="0"/>
      <w:marTop w:val="0"/>
      <w:marBottom w:val="0"/>
      <w:divBdr>
        <w:top w:val="none" w:sz="0" w:space="0" w:color="auto"/>
        <w:left w:val="none" w:sz="0" w:space="0" w:color="auto"/>
        <w:bottom w:val="none" w:sz="0" w:space="0" w:color="auto"/>
        <w:right w:val="none" w:sz="0" w:space="0" w:color="auto"/>
      </w:divBdr>
    </w:div>
    <w:div w:id="953747866">
      <w:bodyDiv w:val="1"/>
      <w:marLeft w:val="0"/>
      <w:marRight w:val="0"/>
      <w:marTop w:val="0"/>
      <w:marBottom w:val="0"/>
      <w:divBdr>
        <w:top w:val="none" w:sz="0" w:space="0" w:color="auto"/>
        <w:left w:val="none" w:sz="0" w:space="0" w:color="auto"/>
        <w:bottom w:val="none" w:sz="0" w:space="0" w:color="auto"/>
        <w:right w:val="none" w:sz="0" w:space="0" w:color="auto"/>
      </w:divBdr>
    </w:div>
    <w:div w:id="1090541388">
      <w:bodyDiv w:val="1"/>
      <w:marLeft w:val="0"/>
      <w:marRight w:val="0"/>
      <w:marTop w:val="0"/>
      <w:marBottom w:val="0"/>
      <w:divBdr>
        <w:top w:val="none" w:sz="0" w:space="0" w:color="auto"/>
        <w:left w:val="none" w:sz="0" w:space="0" w:color="auto"/>
        <w:bottom w:val="none" w:sz="0" w:space="0" w:color="auto"/>
        <w:right w:val="none" w:sz="0" w:space="0" w:color="auto"/>
      </w:divBdr>
    </w:div>
    <w:div w:id="1256132586">
      <w:bodyDiv w:val="1"/>
      <w:marLeft w:val="0"/>
      <w:marRight w:val="0"/>
      <w:marTop w:val="0"/>
      <w:marBottom w:val="0"/>
      <w:divBdr>
        <w:top w:val="none" w:sz="0" w:space="0" w:color="auto"/>
        <w:left w:val="none" w:sz="0" w:space="0" w:color="auto"/>
        <w:bottom w:val="none" w:sz="0" w:space="0" w:color="auto"/>
        <w:right w:val="none" w:sz="0" w:space="0" w:color="auto"/>
      </w:divBdr>
      <w:divsChild>
        <w:div w:id="228853750">
          <w:marLeft w:val="720"/>
          <w:marRight w:val="0"/>
          <w:marTop w:val="0"/>
          <w:marBottom w:val="300"/>
          <w:divBdr>
            <w:top w:val="none" w:sz="0" w:space="0" w:color="auto"/>
            <w:left w:val="none" w:sz="0" w:space="0" w:color="auto"/>
            <w:bottom w:val="none" w:sz="0" w:space="0" w:color="auto"/>
            <w:right w:val="none" w:sz="0" w:space="0" w:color="auto"/>
          </w:divBdr>
        </w:div>
        <w:div w:id="963392838">
          <w:marLeft w:val="720"/>
          <w:marRight w:val="0"/>
          <w:marTop w:val="0"/>
          <w:marBottom w:val="300"/>
          <w:divBdr>
            <w:top w:val="none" w:sz="0" w:space="0" w:color="auto"/>
            <w:left w:val="none" w:sz="0" w:space="0" w:color="auto"/>
            <w:bottom w:val="none" w:sz="0" w:space="0" w:color="auto"/>
            <w:right w:val="none" w:sz="0" w:space="0" w:color="auto"/>
          </w:divBdr>
        </w:div>
        <w:div w:id="1436633266">
          <w:marLeft w:val="720"/>
          <w:marRight w:val="0"/>
          <w:marTop w:val="0"/>
          <w:marBottom w:val="300"/>
          <w:divBdr>
            <w:top w:val="none" w:sz="0" w:space="0" w:color="auto"/>
            <w:left w:val="none" w:sz="0" w:space="0" w:color="auto"/>
            <w:bottom w:val="none" w:sz="0" w:space="0" w:color="auto"/>
            <w:right w:val="none" w:sz="0" w:space="0" w:color="auto"/>
          </w:divBdr>
        </w:div>
      </w:divsChild>
    </w:div>
    <w:div w:id="1293562446">
      <w:bodyDiv w:val="1"/>
      <w:marLeft w:val="0"/>
      <w:marRight w:val="0"/>
      <w:marTop w:val="0"/>
      <w:marBottom w:val="0"/>
      <w:divBdr>
        <w:top w:val="none" w:sz="0" w:space="0" w:color="auto"/>
        <w:left w:val="none" w:sz="0" w:space="0" w:color="auto"/>
        <w:bottom w:val="none" w:sz="0" w:space="0" w:color="auto"/>
        <w:right w:val="none" w:sz="0" w:space="0" w:color="auto"/>
      </w:divBdr>
    </w:div>
    <w:div w:id="1293904021">
      <w:bodyDiv w:val="1"/>
      <w:marLeft w:val="0"/>
      <w:marRight w:val="0"/>
      <w:marTop w:val="0"/>
      <w:marBottom w:val="0"/>
      <w:divBdr>
        <w:top w:val="none" w:sz="0" w:space="0" w:color="auto"/>
        <w:left w:val="none" w:sz="0" w:space="0" w:color="auto"/>
        <w:bottom w:val="none" w:sz="0" w:space="0" w:color="auto"/>
        <w:right w:val="none" w:sz="0" w:space="0" w:color="auto"/>
      </w:divBdr>
    </w:div>
    <w:div w:id="1375740110">
      <w:bodyDiv w:val="1"/>
      <w:marLeft w:val="0"/>
      <w:marRight w:val="0"/>
      <w:marTop w:val="0"/>
      <w:marBottom w:val="0"/>
      <w:divBdr>
        <w:top w:val="none" w:sz="0" w:space="0" w:color="auto"/>
        <w:left w:val="none" w:sz="0" w:space="0" w:color="auto"/>
        <w:bottom w:val="none" w:sz="0" w:space="0" w:color="auto"/>
        <w:right w:val="none" w:sz="0" w:space="0" w:color="auto"/>
      </w:divBdr>
    </w:div>
    <w:div w:id="1431002662">
      <w:bodyDiv w:val="1"/>
      <w:marLeft w:val="0"/>
      <w:marRight w:val="0"/>
      <w:marTop w:val="0"/>
      <w:marBottom w:val="0"/>
      <w:divBdr>
        <w:top w:val="none" w:sz="0" w:space="0" w:color="auto"/>
        <w:left w:val="none" w:sz="0" w:space="0" w:color="auto"/>
        <w:bottom w:val="none" w:sz="0" w:space="0" w:color="auto"/>
        <w:right w:val="none" w:sz="0" w:space="0" w:color="auto"/>
      </w:divBdr>
    </w:div>
    <w:div w:id="1473596872">
      <w:bodyDiv w:val="1"/>
      <w:marLeft w:val="0"/>
      <w:marRight w:val="0"/>
      <w:marTop w:val="0"/>
      <w:marBottom w:val="0"/>
      <w:divBdr>
        <w:top w:val="none" w:sz="0" w:space="0" w:color="auto"/>
        <w:left w:val="none" w:sz="0" w:space="0" w:color="auto"/>
        <w:bottom w:val="none" w:sz="0" w:space="0" w:color="auto"/>
        <w:right w:val="none" w:sz="0" w:space="0" w:color="auto"/>
      </w:divBdr>
    </w:div>
    <w:div w:id="1526675796">
      <w:bodyDiv w:val="1"/>
      <w:marLeft w:val="0"/>
      <w:marRight w:val="0"/>
      <w:marTop w:val="0"/>
      <w:marBottom w:val="0"/>
      <w:divBdr>
        <w:top w:val="none" w:sz="0" w:space="0" w:color="auto"/>
        <w:left w:val="none" w:sz="0" w:space="0" w:color="auto"/>
        <w:bottom w:val="none" w:sz="0" w:space="0" w:color="auto"/>
        <w:right w:val="none" w:sz="0" w:space="0" w:color="auto"/>
      </w:divBdr>
    </w:div>
    <w:div w:id="1598248047">
      <w:bodyDiv w:val="1"/>
      <w:marLeft w:val="0"/>
      <w:marRight w:val="0"/>
      <w:marTop w:val="0"/>
      <w:marBottom w:val="0"/>
      <w:divBdr>
        <w:top w:val="none" w:sz="0" w:space="0" w:color="auto"/>
        <w:left w:val="none" w:sz="0" w:space="0" w:color="auto"/>
        <w:bottom w:val="none" w:sz="0" w:space="0" w:color="auto"/>
        <w:right w:val="none" w:sz="0" w:space="0" w:color="auto"/>
      </w:divBdr>
      <w:divsChild>
        <w:div w:id="401031492">
          <w:marLeft w:val="0"/>
          <w:marRight w:val="0"/>
          <w:marTop w:val="0"/>
          <w:marBottom w:val="300"/>
          <w:divBdr>
            <w:top w:val="none" w:sz="0" w:space="0" w:color="auto"/>
            <w:left w:val="none" w:sz="0" w:space="0" w:color="auto"/>
            <w:bottom w:val="none" w:sz="0" w:space="0" w:color="auto"/>
            <w:right w:val="none" w:sz="0" w:space="0" w:color="auto"/>
          </w:divBdr>
        </w:div>
      </w:divsChild>
    </w:div>
    <w:div w:id="1643996588">
      <w:bodyDiv w:val="1"/>
      <w:marLeft w:val="0"/>
      <w:marRight w:val="0"/>
      <w:marTop w:val="0"/>
      <w:marBottom w:val="0"/>
      <w:divBdr>
        <w:top w:val="none" w:sz="0" w:space="0" w:color="auto"/>
        <w:left w:val="none" w:sz="0" w:space="0" w:color="auto"/>
        <w:bottom w:val="none" w:sz="0" w:space="0" w:color="auto"/>
        <w:right w:val="none" w:sz="0" w:space="0" w:color="auto"/>
      </w:divBdr>
    </w:div>
    <w:div w:id="1679186280">
      <w:bodyDiv w:val="1"/>
      <w:marLeft w:val="0"/>
      <w:marRight w:val="0"/>
      <w:marTop w:val="0"/>
      <w:marBottom w:val="0"/>
      <w:divBdr>
        <w:top w:val="none" w:sz="0" w:space="0" w:color="auto"/>
        <w:left w:val="none" w:sz="0" w:space="0" w:color="auto"/>
        <w:bottom w:val="none" w:sz="0" w:space="0" w:color="auto"/>
        <w:right w:val="none" w:sz="0" w:space="0" w:color="auto"/>
      </w:divBdr>
      <w:divsChild>
        <w:div w:id="515119100">
          <w:marLeft w:val="446"/>
          <w:marRight w:val="0"/>
          <w:marTop w:val="20"/>
          <w:marBottom w:val="0"/>
          <w:divBdr>
            <w:top w:val="none" w:sz="0" w:space="0" w:color="auto"/>
            <w:left w:val="none" w:sz="0" w:space="0" w:color="auto"/>
            <w:bottom w:val="none" w:sz="0" w:space="0" w:color="auto"/>
            <w:right w:val="none" w:sz="0" w:space="0" w:color="auto"/>
          </w:divBdr>
        </w:div>
        <w:div w:id="1042442760">
          <w:marLeft w:val="446"/>
          <w:marRight w:val="0"/>
          <w:marTop w:val="20"/>
          <w:marBottom w:val="0"/>
          <w:divBdr>
            <w:top w:val="none" w:sz="0" w:space="0" w:color="auto"/>
            <w:left w:val="none" w:sz="0" w:space="0" w:color="auto"/>
            <w:bottom w:val="none" w:sz="0" w:space="0" w:color="auto"/>
            <w:right w:val="none" w:sz="0" w:space="0" w:color="auto"/>
          </w:divBdr>
        </w:div>
      </w:divsChild>
    </w:div>
    <w:div w:id="1726370762">
      <w:bodyDiv w:val="1"/>
      <w:marLeft w:val="0"/>
      <w:marRight w:val="0"/>
      <w:marTop w:val="0"/>
      <w:marBottom w:val="0"/>
      <w:divBdr>
        <w:top w:val="none" w:sz="0" w:space="0" w:color="auto"/>
        <w:left w:val="none" w:sz="0" w:space="0" w:color="auto"/>
        <w:bottom w:val="none" w:sz="0" w:space="0" w:color="auto"/>
        <w:right w:val="none" w:sz="0" w:space="0" w:color="auto"/>
      </w:divBdr>
    </w:div>
    <w:div w:id="1790472934">
      <w:bodyDiv w:val="1"/>
      <w:marLeft w:val="0"/>
      <w:marRight w:val="0"/>
      <w:marTop w:val="0"/>
      <w:marBottom w:val="0"/>
      <w:divBdr>
        <w:top w:val="none" w:sz="0" w:space="0" w:color="auto"/>
        <w:left w:val="none" w:sz="0" w:space="0" w:color="auto"/>
        <w:bottom w:val="none" w:sz="0" w:space="0" w:color="auto"/>
        <w:right w:val="none" w:sz="0" w:space="0" w:color="auto"/>
      </w:divBdr>
    </w:div>
    <w:div w:id="1802571787">
      <w:bodyDiv w:val="1"/>
      <w:marLeft w:val="0"/>
      <w:marRight w:val="0"/>
      <w:marTop w:val="0"/>
      <w:marBottom w:val="0"/>
      <w:divBdr>
        <w:top w:val="none" w:sz="0" w:space="0" w:color="auto"/>
        <w:left w:val="none" w:sz="0" w:space="0" w:color="auto"/>
        <w:bottom w:val="none" w:sz="0" w:space="0" w:color="auto"/>
        <w:right w:val="none" w:sz="0" w:space="0" w:color="auto"/>
      </w:divBdr>
    </w:div>
    <w:div w:id="1883983367">
      <w:bodyDiv w:val="1"/>
      <w:marLeft w:val="0"/>
      <w:marRight w:val="0"/>
      <w:marTop w:val="0"/>
      <w:marBottom w:val="0"/>
      <w:divBdr>
        <w:top w:val="none" w:sz="0" w:space="0" w:color="auto"/>
        <w:left w:val="none" w:sz="0" w:space="0" w:color="auto"/>
        <w:bottom w:val="none" w:sz="0" w:space="0" w:color="auto"/>
        <w:right w:val="none" w:sz="0" w:space="0" w:color="auto"/>
      </w:divBdr>
      <w:divsChild>
        <w:div w:id="1027171338">
          <w:marLeft w:val="446"/>
          <w:marRight w:val="0"/>
          <w:marTop w:val="20"/>
          <w:marBottom w:val="0"/>
          <w:divBdr>
            <w:top w:val="none" w:sz="0" w:space="0" w:color="auto"/>
            <w:left w:val="none" w:sz="0" w:space="0" w:color="auto"/>
            <w:bottom w:val="none" w:sz="0" w:space="0" w:color="auto"/>
            <w:right w:val="none" w:sz="0" w:space="0" w:color="auto"/>
          </w:divBdr>
        </w:div>
        <w:div w:id="1167549609">
          <w:marLeft w:val="446"/>
          <w:marRight w:val="0"/>
          <w:marTop w:val="20"/>
          <w:marBottom w:val="0"/>
          <w:divBdr>
            <w:top w:val="none" w:sz="0" w:space="0" w:color="auto"/>
            <w:left w:val="none" w:sz="0" w:space="0" w:color="auto"/>
            <w:bottom w:val="none" w:sz="0" w:space="0" w:color="auto"/>
            <w:right w:val="none" w:sz="0" w:space="0" w:color="auto"/>
          </w:divBdr>
        </w:div>
        <w:div w:id="1388996199">
          <w:marLeft w:val="446"/>
          <w:marRight w:val="0"/>
          <w:marTop w:val="20"/>
          <w:marBottom w:val="0"/>
          <w:divBdr>
            <w:top w:val="none" w:sz="0" w:space="0" w:color="auto"/>
            <w:left w:val="none" w:sz="0" w:space="0" w:color="auto"/>
            <w:bottom w:val="none" w:sz="0" w:space="0" w:color="auto"/>
            <w:right w:val="none" w:sz="0" w:space="0" w:color="auto"/>
          </w:divBdr>
        </w:div>
      </w:divsChild>
    </w:div>
    <w:div w:id="1955675752">
      <w:bodyDiv w:val="1"/>
      <w:marLeft w:val="0"/>
      <w:marRight w:val="0"/>
      <w:marTop w:val="0"/>
      <w:marBottom w:val="0"/>
      <w:divBdr>
        <w:top w:val="none" w:sz="0" w:space="0" w:color="auto"/>
        <w:left w:val="none" w:sz="0" w:space="0" w:color="auto"/>
        <w:bottom w:val="none" w:sz="0" w:space="0" w:color="auto"/>
        <w:right w:val="none" w:sz="0" w:space="0" w:color="auto"/>
      </w:divBdr>
    </w:div>
    <w:div w:id="1972783373">
      <w:bodyDiv w:val="1"/>
      <w:marLeft w:val="0"/>
      <w:marRight w:val="0"/>
      <w:marTop w:val="0"/>
      <w:marBottom w:val="0"/>
      <w:divBdr>
        <w:top w:val="none" w:sz="0" w:space="0" w:color="auto"/>
        <w:left w:val="none" w:sz="0" w:space="0" w:color="auto"/>
        <w:bottom w:val="none" w:sz="0" w:space="0" w:color="auto"/>
        <w:right w:val="none" w:sz="0" w:space="0" w:color="auto"/>
      </w:divBdr>
    </w:div>
    <w:div w:id="2040470282">
      <w:bodyDiv w:val="1"/>
      <w:marLeft w:val="0"/>
      <w:marRight w:val="0"/>
      <w:marTop w:val="0"/>
      <w:marBottom w:val="0"/>
      <w:divBdr>
        <w:top w:val="none" w:sz="0" w:space="0" w:color="auto"/>
        <w:left w:val="none" w:sz="0" w:space="0" w:color="auto"/>
        <w:bottom w:val="none" w:sz="0" w:space="0" w:color="auto"/>
        <w:right w:val="none" w:sz="0" w:space="0" w:color="auto"/>
      </w:divBdr>
      <w:divsChild>
        <w:div w:id="21325377">
          <w:marLeft w:val="0"/>
          <w:marRight w:val="0"/>
          <w:marTop w:val="0"/>
          <w:marBottom w:val="300"/>
          <w:divBdr>
            <w:top w:val="none" w:sz="0" w:space="0" w:color="auto"/>
            <w:left w:val="none" w:sz="0" w:space="0" w:color="auto"/>
            <w:bottom w:val="none" w:sz="0" w:space="0" w:color="auto"/>
            <w:right w:val="none" w:sz="0" w:space="0" w:color="auto"/>
          </w:divBdr>
        </w:div>
      </w:divsChild>
    </w:div>
    <w:div w:id="2053571582">
      <w:bodyDiv w:val="1"/>
      <w:marLeft w:val="0"/>
      <w:marRight w:val="0"/>
      <w:marTop w:val="0"/>
      <w:marBottom w:val="0"/>
      <w:divBdr>
        <w:top w:val="none" w:sz="0" w:space="0" w:color="auto"/>
        <w:left w:val="none" w:sz="0" w:space="0" w:color="auto"/>
        <w:bottom w:val="none" w:sz="0" w:space="0" w:color="auto"/>
        <w:right w:val="none" w:sz="0" w:space="0" w:color="auto"/>
      </w:divBdr>
    </w:div>
    <w:div w:id="2066293671">
      <w:bodyDiv w:val="1"/>
      <w:marLeft w:val="0"/>
      <w:marRight w:val="0"/>
      <w:marTop w:val="0"/>
      <w:marBottom w:val="0"/>
      <w:divBdr>
        <w:top w:val="none" w:sz="0" w:space="0" w:color="auto"/>
        <w:left w:val="none" w:sz="0" w:space="0" w:color="auto"/>
        <w:bottom w:val="none" w:sz="0" w:space="0" w:color="auto"/>
        <w:right w:val="none" w:sz="0" w:space="0" w:color="auto"/>
      </w:divBdr>
    </w:div>
    <w:div w:id="2091850489">
      <w:bodyDiv w:val="1"/>
      <w:marLeft w:val="0"/>
      <w:marRight w:val="0"/>
      <w:marTop w:val="0"/>
      <w:marBottom w:val="0"/>
      <w:divBdr>
        <w:top w:val="none" w:sz="0" w:space="0" w:color="auto"/>
        <w:left w:val="none" w:sz="0" w:space="0" w:color="auto"/>
        <w:bottom w:val="none" w:sz="0" w:space="0" w:color="auto"/>
        <w:right w:val="none" w:sz="0" w:space="0" w:color="auto"/>
      </w:divBdr>
      <w:divsChild>
        <w:div w:id="905840480">
          <w:marLeft w:val="547"/>
          <w:marRight w:val="0"/>
          <w:marTop w:val="0"/>
          <w:marBottom w:val="300"/>
          <w:divBdr>
            <w:top w:val="none" w:sz="0" w:space="0" w:color="auto"/>
            <w:left w:val="none" w:sz="0" w:space="0" w:color="auto"/>
            <w:bottom w:val="none" w:sz="0" w:space="0" w:color="auto"/>
            <w:right w:val="none" w:sz="0" w:space="0" w:color="auto"/>
          </w:divBdr>
        </w:div>
        <w:div w:id="998268246">
          <w:marLeft w:val="547"/>
          <w:marRight w:val="0"/>
          <w:marTop w:val="0"/>
          <w:marBottom w:val="300"/>
          <w:divBdr>
            <w:top w:val="none" w:sz="0" w:space="0" w:color="auto"/>
            <w:left w:val="none" w:sz="0" w:space="0" w:color="auto"/>
            <w:bottom w:val="none" w:sz="0" w:space="0" w:color="auto"/>
            <w:right w:val="none" w:sz="0" w:space="0" w:color="auto"/>
          </w:divBdr>
        </w:div>
        <w:div w:id="124009047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40knowledgehub.org/s/article/Climate-Action-Planning-Vertical-Integration-Guide?language=en_US" TargetMode="External"/><Relationship Id="rId18" Type="http://schemas.openxmlformats.org/officeDocument/2006/relationships/hyperlink" Target="https://mst.dk/natur-vand/natur/international-naturbeskyttelse/eu-direktiver/naturbeskyttelsesdirektiver/" TargetMode="External"/><Relationship Id="rId26" Type="http://schemas.openxmlformats.org/officeDocument/2006/relationships/hyperlink" Target="https://ec.europa.eu/info/food-farming-fisheries/key-policies/common-agricultural-policy/new-cap-2023-27_en" TargetMode="External"/><Relationship Id="rId39" Type="http://schemas.openxmlformats.org/officeDocument/2006/relationships/hyperlink" Target="https://www.retsinformation.dk/eli/lta/2020/2276" TargetMode="External"/><Relationship Id="rId21" Type="http://schemas.openxmlformats.org/officeDocument/2006/relationships/hyperlink" Target="https://www.retsinformation.dk/eli/lta/2017/1085" TargetMode="External"/><Relationship Id="rId34" Type="http://schemas.openxmlformats.org/officeDocument/2006/relationships/hyperlink" Target="https://www.klimatilpasning.dk/media/1616447/klimahandlingsplanpd.pdf" TargetMode="External"/><Relationship Id="rId42" Type="http://schemas.openxmlformats.org/officeDocument/2006/relationships/hyperlink" Target="https://fm.dk/media/18085/klimaaftale-for-energi-og-industri-mv-2020.pdf" TargetMode="External"/><Relationship Id="rId47" Type="http://schemas.openxmlformats.org/officeDocument/2006/relationships/hyperlink" Target="https://www.trm.dk/publikationer/2020/klimasamarbejdsaftaler-om-groen-kollektiv-trafik" TargetMode="External"/><Relationship Id="rId50" Type="http://schemas.openxmlformats.org/officeDocument/2006/relationships/hyperlink" Target="https://fm.dk/media/25302/aftale-om-groen-omstilling-af-dansk-landbrug_a.pdf" TargetMode="External"/><Relationship Id="rId55" Type="http://schemas.openxmlformats.org/officeDocument/2006/relationships/hyperlink" Target="https://rn.dk/regional-udvikling/mobilitet-og-infrastruktur/masterplan"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erdensmaalene.dk/fakta/verdensmaalene" TargetMode="External"/><Relationship Id="rId20" Type="http://schemas.openxmlformats.org/officeDocument/2006/relationships/hyperlink" Target="https://eur-lex.europa.eu/legal-content/DA/TXT/PDF/?uri=CELEX:32007L0060&amp;from=LV" TargetMode="External"/><Relationship Id="rId29" Type="http://schemas.openxmlformats.org/officeDocument/2006/relationships/hyperlink" Target="https://ec.europa.eu/info/strategy/priorities-2019-2024/european-green-deal_da" TargetMode="External"/><Relationship Id="rId41" Type="http://schemas.openxmlformats.org/officeDocument/2006/relationships/hyperlink" Target="https://ens.dk/ansvarsomraader/vand/vandselskabers-klimatilpasning" TargetMode="External"/><Relationship Id="rId54" Type="http://schemas.openxmlformats.org/officeDocument/2006/relationships/hyperlink" Target="https://gronenerginordjylland.rn.d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st.dk/affald-jord/jordforurening/ied-jordforurening/ie-direktivet/" TargetMode="External"/><Relationship Id="rId32" Type="http://schemas.openxmlformats.org/officeDocument/2006/relationships/hyperlink" Target="https://eur-lex.europa.eu/legal-content/EN/TXT/?uri=COM:2021:82:FIN" TargetMode="External"/><Relationship Id="rId37" Type="http://schemas.openxmlformats.org/officeDocument/2006/relationships/hyperlink" Target="https://www.retsinformation.dk/eli/lta/2018/287" TargetMode="External"/><Relationship Id="rId40" Type="http://schemas.openxmlformats.org/officeDocument/2006/relationships/hyperlink" Target="https://www.retsinformation.dk/eli/lta/2020/2275" TargetMode="External"/><Relationship Id="rId45" Type="http://schemas.openxmlformats.org/officeDocument/2006/relationships/hyperlink" Target="https://bygningsreglementet.dk/Vejledninger/Andre_vejledninger/Vejledning/Vejledning-om-laderstander?Layout=ShowAll" TargetMode="External"/><Relationship Id="rId53" Type="http://schemas.openxmlformats.org/officeDocument/2006/relationships/hyperlink" Target="https://mst.dk/natur-vand/vandmiljoe/vandomraadeplaner/vandomraadeplanerne-2021-2027/vandomraadeplanerne-2021-2027/" TargetMode="External"/><Relationship Id="rId58" Type="http://schemas.openxmlformats.org/officeDocument/2006/relationships/hyperlink" Target="https://www.kl.dk/media/27228/videnspakke-bilag-til-den-faelles-nordjyske-klimaambition.pdf" TargetMode="External"/><Relationship Id="rId5" Type="http://schemas.openxmlformats.org/officeDocument/2006/relationships/numbering" Target="numbering.xml"/><Relationship Id="rId15" Type="http://schemas.openxmlformats.org/officeDocument/2006/relationships/hyperlink" Target="https://kefm.dk/klima-og-vejr/klimaforhandlinger/parisaftalen-2015" TargetMode="External"/><Relationship Id="rId23" Type="http://schemas.openxmlformats.org/officeDocument/2006/relationships/hyperlink" Target="https://eur-lex.europa.eu/legal-content/da/TXT/PDF/?uri=CELEX:02008L0098-20180705&amp;from=EN" TargetMode="External"/><Relationship Id="rId28" Type="http://schemas.openxmlformats.org/officeDocument/2006/relationships/hyperlink" Target="https://www.retsinformation.dk/eli/lta/2018/491" TargetMode="External"/><Relationship Id="rId36" Type="http://schemas.openxmlformats.org/officeDocument/2006/relationships/hyperlink" Target="https://www.retsinformation.dk/eli/lta/2019/520" TargetMode="External"/><Relationship Id="rId49" Type="http://schemas.openxmlformats.org/officeDocument/2006/relationships/hyperlink" Target="https://mim.dk/miljoe/handlingsplan-for-cirkulaer-oekonomi/" TargetMode="External"/><Relationship Id="rId57" Type="http://schemas.openxmlformats.org/officeDocument/2006/relationships/hyperlink" Target="https://www.kl.dk/media/27227/den-faelles-nordjyske-klimaambition-2021-2023-kkr-nordjylland.pdf"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st.dk/natur-vand/natur/international-naturbeskyttelse/eu-direktiver/eus-vandrammedirektiv/" TargetMode="External"/><Relationship Id="rId31" Type="http://schemas.openxmlformats.org/officeDocument/2006/relationships/hyperlink" Target="https://eur-lex.europa.eu/legal-content/DA/TXT/HTML/?uri=CELEX:52020DC0098&amp;from=EN" TargetMode="External"/><Relationship Id="rId44" Type="http://schemas.openxmlformats.org/officeDocument/2006/relationships/hyperlink" Target="https://www.retsinformation.dk/eli/lta/2020/181" TargetMode="External"/><Relationship Id="rId52" Type="http://schemas.openxmlformats.org/officeDocument/2006/relationships/hyperlink" Target="https://prodstoragehoeringspo.blob.core.windows.net/56b83694-00b7-41e8-a2aa-28f4f9415af4/Forslag%20til%20den%20danske%20CAP-plan%202023-27.pdf"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fccc.int/process-and-meetings/the-convention/what-is-the-united-nations-framework-convention-on-climate-change" TargetMode="External"/><Relationship Id="rId22" Type="http://schemas.openxmlformats.org/officeDocument/2006/relationships/hyperlink" Target="http://oversv&#248;mmelsesloven" TargetMode="External"/><Relationship Id="rId27" Type="http://schemas.openxmlformats.org/officeDocument/2006/relationships/hyperlink" Target="https://ec.europa.eu/clima/eu-action/climate-strategies-targets/2030-climate-energy-framework_en" TargetMode="External"/><Relationship Id="rId30" Type="http://schemas.openxmlformats.org/officeDocument/2006/relationships/hyperlink" Target="https://ec.europa.eu/food/horizontal-topics/farm-fork-strategy_da" TargetMode="External"/><Relationship Id="rId35" Type="http://schemas.openxmlformats.org/officeDocument/2006/relationships/hyperlink" Target="https://kefm.dk/aftaler-og-politiske-udspil/energiaftalen" TargetMode="External"/><Relationship Id="rId43" Type="http://schemas.openxmlformats.org/officeDocument/2006/relationships/hyperlink" Target="https://fm.dk/media/18511/aftale-om-groen-omstilling-af-vejtransporten_a.pdf" TargetMode="External"/><Relationship Id="rId48" Type="http://schemas.openxmlformats.org/officeDocument/2006/relationships/hyperlink" Target="https://www.ft.dk/samling/20211/almdel/TRU/bilag/45/2475800.pdf" TargetMode="External"/><Relationship Id="rId56" Type="http://schemas.openxmlformats.org/officeDocument/2006/relationships/hyperlink" Target="https://www.nordjyllandstrafikselskab.dk/media/groen_strategi_for_nt_2018.pdf" TargetMode="External"/><Relationship Id="rId8" Type="http://schemas.openxmlformats.org/officeDocument/2006/relationships/webSettings" Target="webSettings.xml"/><Relationship Id="rId51" Type="http://schemas.openxmlformats.org/officeDocument/2006/relationships/hyperlink" Target="https://kefm.dk/Media/637750803072968157/Faktaark_Den%20samlede%20strategiske%20indsats%20for%20udbredelse%20af%20fangst%20og%20lagring%20af%20CO%E2%82%82_V02.pdf"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eur-lex.europa.eu/legal-content/DA/TXT/?uri=LEGISSUM:4413653" TargetMode="External"/><Relationship Id="rId25" Type="http://schemas.openxmlformats.org/officeDocument/2006/relationships/hyperlink" Target="https://www.eea.europa.eu/policy-documents/eu-common-agricultural-policy-cap" TargetMode="External"/><Relationship Id="rId33" Type="http://schemas.openxmlformats.org/officeDocument/2006/relationships/hyperlink" Target="https://www.consilium.europa.eu/da/policies/green-deal/eu-plan-for-a-green-transition/" TargetMode="External"/><Relationship Id="rId38" Type="http://schemas.openxmlformats.org/officeDocument/2006/relationships/hyperlink" Target="https://www.retsinformation.dk/eli/lta/2020/965" TargetMode="External"/><Relationship Id="rId46" Type="http://schemas.openxmlformats.org/officeDocument/2006/relationships/hyperlink" Target="https://www.retsinformation.dk/eli/lta/2021/1726" TargetMode="External"/><Relationship Id="rId5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945C6BC4E51845ACF73EF432CB5498" ma:contentTypeVersion="13" ma:contentTypeDescription="Opret et nyt dokument." ma:contentTypeScope="" ma:versionID="526577a90ea4b4557d56b2d2f75d1650">
  <xsd:schema xmlns:xsd="http://www.w3.org/2001/XMLSchema" xmlns:xs="http://www.w3.org/2001/XMLSchema" xmlns:p="http://schemas.microsoft.com/office/2006/metadata/properties" xmlns:ns2="5b996eb7-ff78-4421-bb70-54891c7c5398" xmlns:ns3="40a5ce3d-3115-4cc2-b82e-b445ca4cf884" targetNamespace="http://schemas.microsoft.com/office/2006/metadata/properties" ma:root="true" ma:fieldsID="bae4f7c92b345f1a8edd8b7128485d0a" ns2:_="" ns3:_="">
    <xsd:import namespace="5b996eb7-ff78-4421-bb70-54891c7c5398"/>
    <xsd:import namespace="40a5ce3d-3115-4cc2-b82e-b445ca4cf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96eb7-ff78-4421-bb70-54891c7c5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5ce3d-3115-4cc2-b82e-b445ca4cf884"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55C3-5890-404B-82FE-6F4838959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96eb7-ff78-4421-bb70-54891c7c5398"/>
    <ds:schemaRef ds:uri="40a5ce3d-3115-4cc2-b82e-b445ca4cf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B62D7-5ADB-4EB7-ADEC-022EB9DD8F65}">
  <ds:schemaRefs>
    <ds:schemaRef ds:uri="http://schemas.microsoft.com/sharepoint/v3/contenttype/forms"/>
  </ds:schemaRefs>
</ds:datastoreItem>
</file>

<file path=customXml/itemProps3.xml><?xml version="1.0" encoding="utf-8"?>
<ds:datastoreItem xmlns:ds="http://schemas.openxmlformats.org/officeDocument/2006/customXml" ds:itemID="{B7A54C45-467E-4C64-A669-1420DC83A50F}">
  <ds:schemaRefs>
    <ds:schemaRef ds:uri="http://purl.org/dc/elements/1.1/"/>
    <ds:schemaRef ds:uri="http://schemas.microsoft.com/office/2006/metadata/properties"/>
    <ds:schemaRef ds:uri="5b996eb7-ff78-4421-bb70-54891c7c5398"/>
    <ds:schemaRef ds:uri="http://schemas.microsoft.com/office/2006/documentManagement/types"/>
    <ds:schemaRef ds:uri="http://purl.org/dc/terms/"/>
    <ds:schemaRef ds:uri="40a5ce3d-3115-4cc2-b82e-b445ca4cf88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728178B-08AA-4D2B-88E7-5137839C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2652</Words>
  <Characters>16183</Characters>
  <Application>Microsoft Office Word</Application>
  <DocSecurity>4</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18798</CharactersWithSpaces>
  <SharedDoc>false</SharedDoc>
  <HLinks>
    <vt:vector size="264" baseType="variant">
      <vt:variant>
        <vt:i4>2359392</vt:i4>
      </vt:variant>
      <vt:variant>
        <vt:i4>129</vt:i4>
      </vt:variant>
      <vt:variant>
        <vt:i4>0</vt:i4>
      </vt:variant>
      <vt:variant>
        <vt:i4>5</vt:i4>
      </vt:variant>
      <vt:variant>
        <vt:lpwstr>https://supercykelstier.dk/wp-content/uploads/2016/03/Ruteoversigt-Visionsplan-2021.pdf</vt:lpwstr>
      </vt:variant>
      <vt:variant>
        <vt:lpwstr/>
      </vt:variant>
      <vt:variant>
        <vt:i4>3997797</vt:i4>
      </vt:variant>
      <vt:variant>
        <vt:i4>126</vt:i4>
      </vt:variant>
      <vt:variant>
        <vt:i4>0</vt:i4>
      </vt:variant>
      <vt:variant>
        <vt:i4>5</vt:i4>
      </vt:variant>
      <vt:variant>
        <vt:lpwstr>https://www.regionh.dk/trafik/trafik_og_mobilitetsplan/Documents/Trafik-og_mobilitetsplan_RegionHovedstaden_samlet_april2019.pdf</vt:lpwstr>
      </vt:variant>
      <vt:variant>
        <vt:lpwstr/>
      </vt:variant>
      <vt:variant>
        <vt:i4>2031698</vt:i4>
      </vt:variant>
      <vt:variant>
        <vt:i4>123</vt:i4>
      </vt:variant>
      <vt:variant>
        <vt:i4>0</vt:i4>
      </vt:variant>
      <vt:variant>
        <vt:i4>5</vt:i4>
      </vt:variant>
      <vt:variant>
        <vt:lpwstr>https://www.regionh.dk/til-fagfolk/Klima-og-miljoe/en-groen-region/Energiomstilling/Sider/Energi-paa-Tvaers.aspx</vt:lpwstr>
      </vt:variant>
      <vt:variant>
        <vt:lpwstr/>
      </vt:variant>
      <vt:variant>
        <vt:i4>6946926</vt:i4>
      </vt:variant>
      <vt:variant>
        <vt:i4>120</vt:i4>
      </vt:variant>
      <vt:variant>
        <vt:i4>0</vt:i4>
      </vt:variant>
      <vt:variant>
        <vt:i4>5</vt:i4>
      </vt:variant>
      <vt:variant>
        <vt:lpwstr>https://mst.dk/natur-vand/vandmiljoe/vandomraadeplaner/vandomraadeplanerne-2021-2027/vandomraadeplanerne-2021-2027/</vt:lpwstr>
      </vt:variant>
      <vt:variant>
        <vt:lpwstr/>
      </vt:variant>
      <vt:variant>
        <vt:i4>1835075</vt:i4>
      </vt:variant>
      <vt:variant>
        <vt:i4>117</vt:i4>
      </vt:variant>
      <vt:variant>
        <vt:i4>0</vt:i4>
      </vt:variant>
      <vt:variant>
        <vt:i4>5</vt:i4>
      </vt:variant>
      <vt:variant>
        <vt:lpwstr>https://prodstoragehoeringspo.blob.core.windows.net/56b83694-00b7-41e8-a2aa-28f4f9415af4/Forslag til den danske CAP-plan 2023-27.pdf</vt:lpwstr>
      </vt:variant>
      <vt:variant>
        <vt:lpwstr/>
      </vt:variant>
      <vt:variant>
        <vt:i4>7012397</vt:i4>
      </vt:variant>
      <vt:variant>
        <vt:i4>114</vt:i4>
      </vt:variant>
      <vt:variant>
        <vt:i4>0</vt:i4>
      </vt:variant>
      <vt:variant>
        <vt:i4>5</vt:i4>
      </vt:variant>
      <vt:variant>
        <vt:lpwstr>https://kefm.dk/Media/637750803072968157/Faktaark_Den samlede strategiske indsats for udbredelse af fangst og lagring af CO%E2%82%82_V02.pdf</vt:lpwstr>
      </vt:variant>
      <vt:variant>
        <vt:lpwstr/>
      </vt:variant>
      <vt:variant>
        <vt:i4>4915258</vt:i4>
      </vt:variant>
      <vt:variant>
        <vt:i4>111</vt:i4>
      </vt:variant>
      <vt:variant>
        <vt:i4>0</vt:i4>
      </vt:variant>
      <vt:variant>
        <vt:i4>5</vt:i4>
      </vt:variant>
      <vt:variant>
        <vt:lpwstr>https://fm.dk/media/25302/aftale-om-groen-omstilling-af-dansk-landbrug_a.pdf</vt:lpwstr>
      </vt:variant>
      <vt:variant>
        <vt:lpwstr/>
      </vt:variant>
      <vt:variant>
        <vt:i4>2293884</vt:i4>
      </vt:variant>
      <vt:variant>
        <vt:i4>108</vt:i4>
      </vt:variant>
      <vt:variant>
        <vt:i4>0</vt:i4>
      </vt:variant>
      <vt:variant>
        <vt:i4>5</vt:i4>
      </vt:variant>
      <vt:variant>
        <vt:lpwstr>https://mim.dk/miljoe/handlingsplan-for-cirkulaer-oekonomi/</vt:lpwstr>
      </vt:variant>
      <vt:variant>
        <vt:lpwstr/>
      </vt:variant>
      <vt:variant>
        <vt:i4>7929910</vt:i4>
      </vt:variant>
      <vt:variant>
        <vt:i4>105</vt:i4>
      </vt:variant>
      <vt:variant>
        <vt:i4>0</vt:i4>
      </vt:variant>
      <vt:variant>
        <vt:i4>5</vt:i4>
      </vt:variant>
      <vt:variant>
        <vt:lpwstr>https://www.ft.dk/samling/20211/almdel/TRU/bilag/45/2475800.pdf</vt:lpwstr>
      </vt:variant>
      <vt:variant>
        <vt:lpwstr/>
      </vt:variant>
      <vt:variant>
        <vt:i4>7536753</vt:i4>
      </vt:variant>
      <vt:variant>
        <vt:i4>102</vt:i4>
      </vt:variant>
      <vt:variant>
        <vt:i4>0</vt:i4>
      </vt:variant>
      <vt:variant>
        <vt:i4>5</vt:i4>
      </vt:variant>
      <vt:variant>
        <vt:lpwstr>https://www.trm.dk/publikationer/2020/klimasamarbejdsaftaler-om-groen-kollektiv-trafik</vt:lpwstr>
      </vt:variant>
      <vt:variant>
        <vt:lpwstr/>
      </vt:variant>
      <vt:variant>
        <vt:i4>4390924</vt:i4>
      </vt:variant>
      <vt:variant>
        <vt:i4>99</vt:i4>
      </vt:variant>
      <vt:variant>
        <vt:i4>0</vt:i4>
      </vt:variant>
      <vt:variant>
        <vt:i4>5</vt:i4>
      </vt:variant>
      <vt:variant>
        <vt:lpwstr>https://www.retsinformation.dk/eli/lta/2021/1726</vt:lpwstr>
      </vt:variant>
      <vt:variant>
        <vt:lpwstr/>
      </vt:variant>
      <vt:variant>
        <vt:i4>589872</vt:i4>
      </vt:variant>
      <vt:variant>
        <vt:i4>96</vt:i4>
      </vt:variant>
      <vt:variant>
        <vt:i4>0</vt:i4>
      </vt:variant>
      <vt:variant>
        <vt:i4>5</vt:i4>
      </vt:variant>
      <vt:variant>
        <vt:lpwstr>https://bygningsreglementet.dk/Vejledninger/Andre_vejledninger/Vejledning/Vejledning-om-laderstander?Layout=ShowAll</vt:lpwstr>
      </vt:variant>
      <vt:variant>
        <vt:lpwstr/>
      </vt:variant>
      <vt:variant>
        <vt:i4>7995455</vt:i4>
      </vt:variant>
      <vt:variant>
        <vt:i4>93</vt:i4>
      </vt:variant>
      <vt:variant>
        <vt:i4>0</vt:i4>
      </vt:variant>
      <vt:variant>
        <vt:i4>5</vt:i4>
      </vt:variant>
      <vt:variant>
        <vt:lpwstr>https://www.retsinformation.dk/eli/lta/2020/181</vt:lpwstr>
      </vt:variant>
      <vt:variant>
        <vt:lpwstr/>
      </vt:variant>
      <vt:variant>
        <vt:i4>1966127</vt:i4>
      </vt:variant>
      <vt:variant>
        <vt:i4>90</vt:i4>
      </vt:variant>
      <vt:variant>
        <vt:i4>0</vt:i4>
      </vt:variant>
      <vt:variant>
        <vt:i4>5</vt:i4>
      </vt:variant>
      <vt:variant>
        <vt:lpwstr>https://fm.dk/media/18511/aftale-om-groen-omstilling-af-vejtransporten_a.pdf</vt:lpwstr>
      </vt:variant>
      <vt:variant>
        <vt:lpwstr/>
      </vt:variant>
      <vt:variant>
        <vt:i4>4915226</vt:i4>
      </vt:variant>
      <vt:variant>
        <vt:i4>87</vt:i4>
      </vt:variant>
      <vt:variant>
        <vt:i4>0</vt:i4>
      </vt:variant>
      <vt:variant>
        <vt:i4>5</vt:i4>
      </vt:variant>
      <vt:variant>
        <vt:lpwstr>https://fm.dk/media/18085/klimaaftale-for-energi-og-industri-mv-2020.pdf</vt:lpwstr>
      </vt:variant>
      <vt:variant>
        <vt:lpwstr/>
      </vt:variant>
      <vt:variant>
        <vt:i4>7602285</vt:i4>
      </vt:variant>
      <vt:variant>
        <vt:i4>84</vt:i4>
      </vt:variant>
      <vt:variant>
        <vt:i4>0</vt:i4>
      </vt:variant>
      <vt:variant>
        <vt:i4>5</vt:i4>
      </vt:variant>
      <vt:variant>
        <vt:lpwstr>https://ens.dk/ansvarsomraader/vand/vandselskabers-klimatilpasning</vt:lpwstr>
      </vt:variant>
      <vt:variant>
        <vt:lpwstr/>
      </vt:variant>
      <vt:variant>
        <vt:i4>4521995</vt:i4>
      </vt:variant>
      <vt:variant>
        <vt:i4>81</vt:i4>
      </vt:variant>
      <vt:variant>
        <vt:i4>0</vt:i4>
      </vt:variant>
      <vt:variant>
        <vt:i4>5</vt:i4>
      </vt:variant>
      <vt:variant>
        <vt:lpwstr>https://www.retsinformation.dk/eli/lta/2020/2275</vt:lpwstr>
      </vt:variant>
      <vt:variant>
        <vt:lpwstr/>
      </vt:variant>
      <vt:variant>
        <vt:i4>4587531</vt:i4>
      </vt:variant>
      <vt:variant>
        <vt:i4>78</vt:i4>
      </vt:variant>
      <vt:variant>
        <vt:i4>0</vt:i4>
      </vt:variant>
      <vt:variant>
        <vt:i4>5</vt:i4>
      </vt:variant>
      <vt:variant>
        <vt:lpwstr>https://www.retsinformation.dk/eli/lta/2020/2276</vt:lpwstr>
      </vt:variant>
      <vt:variant>
        <vt:lpwstr/>
      </vt:variant>
      <vt:variant>
        <vt:i4>7602231</vt:i4>
      </vt:variant>
      <vt:variant>
        <vt:i4>75</vt:i4>
      </vt:variant>
      <vt:variant>
        <vt:i4>0</vt:i4>
      </vt:variant>
      <vt:variant>
        <vt:i4>5</vt:i4>
      </vt:variant>
      <vt:variant>
        <vt:lpwstr>https://www.retsinformation.dk/eli/lta/2020/965</vt:lpwstr>
      </vt:variant>
      <vt:variant>
        <vt:lpwstr/>
      </vt:variant>
      <vt:variant>
        <vt:i4>7929908</vt:i4>
      </vt:variant>
      <vt:variant>
        <vt:i4>72</vt:i4>
      </vt:variant>
      <vt:variant>
        <vt:i4>0</vt:i4>
      </vt:variant>
      <vt:variant>
        <vt:i4>5</vt:i4>
      </vt:variant>
      <vt:variant>
        <vt:lpwstr>https://www.retsinformation.dk/eli/lta/2018/287</vt:lpwstr>
      </vt:variant>
      <vt:variant>
        <vt:lpwstr/>
      </vt:variant>
      <vt:variant>
        <vt:i4>7536690</vt:i4>
      </vt:variant>
      <vt:variant>
        <vt:i4>69</vt:i4>
      </vt:variant>
      <vt:variant>
        <vt:i4>0</vt:i4>
      </vt:variant>
      <vt:variant>
        <vt:i4>5</vt:i4>
      </vt:variant>
      <vt:variant>
        <vt:lpwstr>https://www.retsinformation.dk/eli/lta/2019/520</vt:lpwstr>
      </vt:variant>
      <vt:variant>
        <vt:lpwstr/>
      </vt:variant>
      <vt:variant>
        <vt:i4>5439502</vt:i4>
      </vt:variant>
      <vt:variant>
        <vt:i4>66</vt:i4>
      </vt:variant>
      <vt:variant>
        <vt:i4>0</vt:i4>
      </vt:variant>
      <vt:variant>
        <vt:i4>5</vt:i4>
      </vt:variant>
      <vt:variant>
        <vt:lpwstr>https://kefm.dk/aftaler-og-politiske-udspil/energiaftalen</vt:lpwstr>
      </vt:variant>
      <vt:variant>
        <vt:lpwstr/>
      </vt:variant>
      <vt:variant>
        <vt:i4>6094932</vt:i4>
      </vt:variant>
      <vt:variant>
        <vt:i4>63</vt:i4>
      </vt:variant>
      <vt:variant>
        <vt:i4>0</vt:i4>
      </vt:variant>
      <vt:variant>
        <vt:i4>5</vt:i4>
      </vt:variant>
      <vt:variant>
        <vt:lpwstr>https://www.klimatilpasning.dk/media/1616447/klimahandlingsplanpd.pdf</vt:lpwstr>
      </vt:variant>
      <vt:variant>
        <vt:lpwstr/>
      </vt:variant>
      <vt:variant>
        <vt:i4>3407971</vt:i4>
      </vt:variant>
      <vt:variant>
        <vt:i4>60</vt:i4>
      </vt:variant>
      <vt:variant>
        <vt:i4>0</vt:i4>
      </vt:variant>
      <vt:variant>
        <vt:i4>5</vt:i4>
      </vt:variant>
      <vt:variant>
        <vt:lpwstr>https://www.consilium.europa.eu/da/policies/green-deal/eu-plan-for-a-green-transition/</vt:lpwstr>
      </vt:variant>
      <vt:variant>
        <vt:lpwstr/>
      </vt:variant>
      <vt:variant>
        <vt:i4>6357093</vt:i4>
      </vt:variant>
      <vt:variant>
        <vt:i4>57</vt:i4>
      </vt:variant>
      <vt:variant>
        <vt:i4>0</vt:i4>
      </vt:variant>
      <vt:variant>
        <vt:i4>5</vt:i4>
      </vt:variant>
      <vt:variant>
        <vt:lpwstr>https://eur-lex.europa.eu/legal-content/EN/TXT/?uri=COM:2021:82:FIN</vt:lpwstr>
      </vt:variant>
      <vt:variant>
        <vt:lpwstr/>
      </vt:variant>
      <vt:variant>
        <vt:i4>6553723</vt:i4>
      </vt:variant>
      <vt:variant>
        <vt:i4>54</vt:i4>
      </vt:variant>
      <vt:variant>
        <vt:i4>0</vt:i4>
      </vt:variant>
      <vt:variant>
        <vt:i4>5</vt:i4>
      </vt:variant>
      <vt:variant>
        <vt:lpwstr>https://eur-lex.europa.eu/legal-content/DA/TXT/HTML/?uri=CELEX:52020DC0098&amp;from=EN</vt:lpwstr>
      </vt:variant>
      <vt:variant>
        <vt:lpwstr/>
      </vt:variant>
      <vt:variant>
        <vt:i4>589942</vt:i4>
      </vt:variant>
      <vt:variant>
        <vt:i4>51</vt:i4>
      </vt:variant>
      <vt:variant>
        <vt:i4>0</vt:i4>
      </vt:variant>
      <vt:variant>
        <vt:i4>5</vt:i4>
      </vt:variant>
      <vt:variant>
        <vt:lpwstr>https://ec.europa.eu/food/horizontal-topics/farm-fork-strategy_da</vt:lpwstr>
      </vt:variant>
      <vt:variant>
        <vt:lpwstr/>
      </vt:variant>
      <vt:variant>
        <vt:i4>5242942</vt:i4>
      </vt:variant>
      <vt:variant>
        <vt:i4>48</vt:i4>
      </vt:variant>
      <vt:variant>
        <vt:i4>0</vt:i4>
      </vt:variant>
      <vt:variant>
        <vt:i4>5</vt:i4>
      </vt:variant>
      <vt:variant>
        <vt:lpwstr>https://ec.europa.eu/info/strategy/priorities-2019-2024/european-green-deal_da</vt:lpwstr>
      </vt:variant>
      <vt:variant>
        <vt:lpwstr/>
      </vt:variant>
      <vt:variant>
        <vt:i4>7864370</vt:i4>
      </vt:variant>
      <vt:variant>
        <vt:i4>45</vt:i4>
      </vt:variant>
      <vt:variant>
        <vt:i4>0</vt:i4>
      </vt:variant>
      <vt:variant>
        <vt:i4>5</vt:i4>
      </vt:variant>
      <vt:variant>
        <vt:lpwstr>https://www.retsinformation.dk/eli/lta/2018/491</vt:lpwstr>
      </vt:variant>
      <vt:variant>
        <vt:lpwstr/>
      </vt:variant>
      <vt:variant>
        <vt:i4>7274500</vt:i4>
      </vt:variant>
      <vt:variant>
        <vt:i4>42</vt:i4>
      </vt:variant>
      <vt:variant>
        <vt:i4>0</vt:i4>
      </vt:variant>
      <vt:variant>
        <vt:i4>5</vt:i4>
      </vt:variant>
      <vt:variant>
        <vt:lpwstr>https://ec.europa.eu/clima/eu-action/climate-strategies-targets/2030-climate-energy-framework_en</vt:lpwstr>
      </vt:variant>
      <vt:variant>
        <vt:lpwstr/>
      </vt:variant>
      <vt:variant>
        <vt:i4>7405658</vt:i4>
      </vt:variant>
      <vt:variant>
        <vt:i4>39</vt:i4>
      </vt:variant>
      <vt:variant>
        <vt:i4>0</vt:i4>
      </vt:variant>
      <vt:variant>
        <vt:i4>5</vt:i4>
      </vt:variant>
      <vt:variant>
        <vt:lpwstr>https://ec.europa.eu/info/food-farming-fisheries/key-policies/common-agricultural-policy/new-cap-2023-27_en</vt:lpwstr>
      </vt:variant>
      <vt:variant>
        <vt:lpwstr/>
      </vt:variant>
      <vt:variant>
        <vt:i4>5701653</vt:i4>
      </vt:variant>
      <vt:variant>
        <vt:i4>36</vt:i4>
      </vt:variant>
      <vt:variant>
        <vt:i4>0</vt:i4>
      </vt:variant>
      <vt:variant>
        <vt:i4>5</vt:i4>
      </vt:variant>
      <vt:variant>
        <vt:lpwstr>https://www.eea.europa.eu/policy-documents/eu-common-agricultural-policy-cap</vt:lpwstr>
      </vt:variant>
      <vt:variant>
        <vt:lpwstr/>
      </vt:variant>
      <vt:variant>
        <vt:i4>3604596</vt:i4>
      </vt:variant>
      <vt:variant>
        <vt:i4>33</vt:i4>
      </vt:variant>
      <vt:variant>
        <vt:i4>0</vt:i4>
      </vt:variant>
      <vt:variant>
        <vt:i4>5</vt:i4>
      </vt:variant>
      <vt:variant>
        <vt:lpwstr>https://mst.dk/affald-jord/jordforurening/ied-jordforurening/ie-direktivet/</vt:lpwstr>
      </vt:variant>
      <vt:variant>
        <vt:lpwstr/>
      </vt:variant>
      <vt:variant>
        <vt:i4>4456474</vt:i4>
      </vt:variant>
      <vt:variant>
        <vt:i4>30</vt:i4>
      </vt:variant>
      <vt:variant>
        <vt:i4>0</vt:i4>
      </vt:variant>
      <vt:variant>
        <vt:i4>5</vt:i4>
      </vt:variant>
      <vt:variant>
        <vt:lpwstr>https://eur-lex.europa.eu/legal-content/da/TXT/PDF/?uri=CELEX:02008L0098-20180705&amp;from=EN</vt:lpwstr>
      </vt:variant>
      <vt:variant>
        <vt:lpwstr/>
      </vt:variant>
      <vt:variant>
        <vt:i4>12189817</vt:i4>
      </vt:variant>
      <vt:variant>
        <vt:i4>26</vt:i4>
      </vt:variant>
      <vt:variant>
        <vt:i4>0</vt:i4>
      </vt:variant>
      <vt:variant>
        <vt:i4>5</vt:i4>
      </vt:variant>
      <vt:variant>
        <vt:lpwstr>http://oversvømmelsesloven/</vt:lpwstr>
      </vt:variant>
      <vt:variant>
        <vt:lpwstr/>
      </vt:variant>
      <vt:variant>
        <vt:i4>4456448</vt:i4>
      </vt:variant>
      <vt:variant>
        <vt:i4>24</vt:i4>
      </vt:variant>
      <vt:variant>
        <vt:i4>0</vt:i4>
      </vt:variant>
      <vt:variant>
        <vt:i4>5</vt:i4>
      </vt:variant>
      <vt:variant>
        <vt:lpwstr>https://www.retsinformation.dk/eli/lta/2017/1085</vt:lpwstr>
      </vt:variant>
      <vt:variant>
        <vt:lpwstr/>
      </vt:variant>
      <vt:variant>
        <vt:i4>5308511</vt:i4>
      </vt:variant>
      <vt:variant>
        <vt:i4>21</vt:i4>
      </vt:variant>
      <vt:variant>
        <vt:i4>0</vt:i4>
      </vt:variant>
      <vt:variant>
        <vt:i4>5</vt:i4>
      </vt:variant>
      <vt:variant>
        <vt:lpwstr>https://eur-lex.europa.eu/legal-content/DA/TXT/PDF/?uri=CELEX:32007L0060&amp;from=LV</vt:lpwstr>
      </vt:variant>
      <vt:variant>
        <vt:lpwstr/>
      </vt:variant>
      <vt:variant>
        <vt:i4>4063334</vt:i4>
      </vt:variant>
      <vt:variant>
        <vt:i4>18</vt:i4>
      </vt:variant>
      <vt:variant>
        <vt:i4>0</vt:i4>
      </vt:variant>
      <vt:variant>
        <vt:i4>5</vt:i4>
      </vt:variant>
      <vt:variant>
        <vt:lpwstr>https://mst.dk/natur-vand/natur/international-naturbeskyttelse/eu-direktiver/eus-vandrammedirektiv/</vt:lpwstr>
      </vt:variant>
      <vt:variant>
        <vt:lpwstr/>
      </vt:variant>
      <vt:variant>
        <vt:i4>5177427</vt:i4>
      </vt:variant>
      <vt:variant>
        <vt:i4>15</vt:i4>
      </vt:variant>
      <vt:variant>
        <vt:i4>0</vt:i4>
      </vt:variant>
      <vt:variant>
        <vt:i4>5</vt:i4>
      </vt:variant>
      <vt:variant>
        <vt:lpwstr>https://mst.dk/natur-vand/natur/international-naturbeskyttelse/eu-direktiver/naturbeskyttelsesdirektiver/</vt:lpwstr>
      </vt:variant>
      <vt:variant>
        <vt:lpwstr/>
      </vt:variant>
      <vt:variant>
        <vt:i4>4390913</vt:i4>
      </vt:variant>
      <vt:variant>
        <vt:i4>12</vt:i4>
      </vt:variant>
      <vt:variant>
        <vt:i4>0</vt:i4>
      </vt:variant>
      <vt:variant>
        <vt:i4>5</vt:i4>
      </vt:variant>
      <vt:variant>
        <vt:lpwstr>https://eur-lex.europa.eu/legal-content/DA/TXT/?uri=LEGISSUM:4413653</vt:lpwstr>
      </vt:variant>
      <vt:variant>
        <vt:lpwstr/>
      </vt:variant>
      <vt:variant>
        <vt:i4>3735657</vt:i4>
      </vt:variant>
      <vt:variant>
        <vt:i4>9</vt:i4>
      </vt:variant>
      <vt:variant>
        <vt:i4>0</vt:i4>
      </vt:variant>
      <vt:variant>
        <vt:i4>5</vt:i4>
      </vt:variant>
      <vt:variant>
        <vt:lpwstr>https://www.verdensmaalene.dk/fakta/verdensmaalene</vt:lpwstr>
      </vt:variant>
      <vt:variant>
        <vt:lpwstr/>
      </vt:variant>
      <vt:variant>
        <vt:i4>8192096</vt:i4>
      </vt:variant>
      <vt:variant>
        <vt:i4>6</vt:i4>
      </vt:variant>
      <vt:variant>
        <vt:i4>0</vt:i4>
      </vt:variant>
      <vt:variant>
        <vt:i4>5</vt:i4>
      </vt:variant>
      <vt:variant>
        <vt:lpwstr>https://kefm.dk/klima-og-vejr/klimaforhandlinger/parisaftalen-2015</vt:lpwstr>
      </vt:variant>
      <vt:variant>
        <vt:lpwstr/>
      </vt:variant>
      <vt:variant>
        <vt:i4>655434</vt:i4>
      </vt:variant>
      <vt:variant>
        <vt:i4>3</vt:i4>
      </vt:variant>
      <vt:variant>
        <vt:i4>0</vt:i4>
      </vt:variant>
      <vt:variant>
        <vt:i4>5</vt:i4>
      </vt:variant>
      <vt:variant>
        <vt:lpwstr>https://unfccc.int/process-and-meetings/the-convention/what-is-the-united-nations-framework-convention-on-climate-change</vt:lpwstr>
      </vt:variant>
      <vt:variant>
        <vt:lpwstr/>
      </vt:variant>
      <vt:variant>
        <vt:i4>3866695</vt:i4>
      </vt:variant>
      <vt:variant>
        <vt:i4>0</vt:i4>
      </vt:variant>
      <vt:variant>
        <vt:i4>0</vt:i4>
      </vt:variant>
      <vt:variant>
        <vt:i4>5</vt:i4>
      </vt:variant>
      <vt:variant>
        <vt:lpwstr>https://www.c40knowledgehub.org/s/article/Climate-Action-Planning-Vertical-Integration-Guide?language=en_US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Stine Pagel Hansen</cp:lastModifiedBy>
  <cp:revision>2</cp:revision>
  <cp:lastPrinted>2020-09-01T09:15:00Z</cp:lastPrinted>
  <dcterms:created xsi:type="dcterms:W3CDTF">2022-03-28T06:18:00Z</dcterms:created>
  <dcterms:modified xsi:type="dcterms:W3CDTF">2022-03-28T06:18:00Z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0x010100D4945C6BC4E51845ACF73EF432CB5498</vt:lpwstr>
  </property>
  <property fmtid="{D5CDD505-2E9C-101B-9397-08002B2CF9AE}" pid="3" name="ContentRemapped">
    <vt:lpwstr>true</vt:lpwstr>
  </property>
</Properties>
</file>